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843" w:rsidRDefault="00DA0843" w:rsidP="008D4B5F">
      <w:pPr>
        <w:spacing w:beforeLines="50" w:after="240"/>
        <w:jc w:val="center"/>
        <w:rPr>
          <w:rFonts w:ascii="Arial" w:eastAsia="楷体_GB2312" w:hAnsi="Arial" w:cs="Times New Roman"/>
          <w:b/>
          <w:bCs/>
          <w:sz w:val="28"/>
          <w:szCs w:val="28"/>
        </w:rPr>
      </w:pPr>
      <w:r w:rsidRPr="009E4CB1">
        <w:rPr>
          <w:rFonts w:ascii="Arial" w:eastAsia="楷体_GB2312" w:hAnsi="Arial" w:cs="楷体_GB2312" w:hint="eastAsia"/>
          <w:b/>
          <w:bCs/>
          <w:sz w:val="28"/>
          <w:szCs w:val="28"/>
        </w:rPr>
        <w:t>江苏上市公司高管薪酬</w:t>
      </w:r>
      <w:r>
        <w:rPr>
          <w:rFonts w:ascii="Arial" w:eastAsia="楷体_GB2312" w:hAnsi="Arial" w:cs="楷体_GB2312" w:hint="eastAsia"/>
          <w:b/>
          <w:bCs/>
          <w:sz w:val="28"/>
          <w:szCs w:val="28"/>
        </w:rPr>
        <w:t>报告</w:t>
      </w:r>
    </w:p>
    <w:p w:rsidR="00DA0843" w:rsidRPr="009E4CB1" w:rsidRDefault="00DA0843" w:rsidP="008D4B5F">
      <w:pPr>
        <w:spacing w:beforeLines="50" w:after="240"/>
        <w:jc w:val="center"/>
        <w:rPr>
          <w:rFonts w:ascii="Arial" w:eastAsia="楷体_GB2312" w:hAnsi="Arial" w:cs="Times New Roman"/>
          <w:b/>
          <w:bCs/>
          <w:sz w:val="28"/>
          <w:szCs w:val="28"/>
        </w:rPr>
      </w:pPr>
      <w:r w:rsidRPr="009E4CB1">
        <w:rPr>
          <w:rFonts w:ascii="Arial" w:eastAsia="楷体_GB2312" w:hAnsi="Arial" w:cs="楷体_GB2312" w:hint="eastAsia"/>
          <w:b/>
          <w:bCs/>
          <w:sz w:val="28"/>
          <w:szCs w:val="28"/>
        </w:rPr>
        <w:t>激励程度整体偏低，股权激励将是薪酬改革重要突破口</w:t>
      </w:r>
    </w:p>
    <w:p w:rsidR="00DA0843" w:rsidRDefault="00DA0843" w:rsidP="008D4B5F">
      <w:pPr>
        <w:spacing w:beforeLines="50"/>
        <w:rPr>
          <w:rFonts w:ascii="Arial" w:eastAsia="楷体_GB2312" w:hAnsi="Arial" w:cs="Times New Roman"/>
          <w:b/>
          <w:bCs/>
        </w:rPr>
      </w:pPr>
      <w:bookmarkStart w:id="0" w:name="_Toc332381623"/>
    </w:p>
    <w:p w:rsidR="00DA0843" w:rsidRDefault="00DA0843" w:rsidP="00CD4E43">
      <w:pPr>
        <w:spacing w:beforeLines="50"/>
        <w:ind w:firstLineChars="200" w:firstLine="31680"/>
        <w:rPr>
          <w:rFonts w:ascii="Arial" w:eastAsia="楷体_GB2312" w:hAnsi="Arial" w:cs="Times New Roman"/>
        </w:rPr>
      </w:pPr>
      <w:r>
        <w:rPr>
          <w:rFonts w:ascii="Arial" w:eastAsia="楷体_GB2312" w:hAnsi="Arial" w:cs="楷体_GB2312" w:hint="eastAsia"/>
        </w:rPr>
        <w:t>领航人才和</w:t>
      </w:r>
      <w:r w:rsidRPr="00C930CD">
        <w:rPr>
          <w:rFonts w:ascii="Arial" w:eastAsia="楷体_GB2312" w:hAnsi="Arial" w:cs="楷体_GB2312" w:hint="eastAsia"/>
        </w:rPr>
        <w:t>尚道</w:t>
      </w:r>
      <w:r>
        <w:rPr>
          <w:rFonts w:ascii="Arial" w:eastAsia="楷体_GB2312" w:hAnsi="Arial" w:cs="楷体_GB2312" w:hint="eastAsia"/>
        </w:rPr>
        <w:t>联合咨询中心</w:t>
      </w:r>
      <w:r w:rsidRPr="00C930CD">
        <w:rPr>
          <w:rFonts w:ascii="Arial" w:eastAsia="楷体_GB2312" w:hAnsi="Arial" w:cs="楷体_GB2312" w:hint="eastAsia"/>
        </w:rPr>
        <w:t>长期以来始终关注中国上市公司高管薪酬的市场实践，对上市公司高管薪酬有着深厚的研究基础。</w:t>
      </w:r>
      <w:r w:rsidRPr="004B507B">
        <w:rPr>
          <w:rFonts w:ascii="Arial" w:eastAsia="楷体_GB2312" w:hAnsi="Arial" w:cs="楷体_GB2312" w:hint="eastAsia"/>
        </w:rPr>
        <w:t>从</w:t>
      </w:r>
      <w:r w:rsidRPr="004B507B">
        <w:rPr>
          <w:rFonts w:ascii="Arial" w:eastAsia="楷体_GB2312" w:hAnsi="Arial" w:cs="Arial"/>
        </w:rPr>
        <w:t>2006</w:t>
      </w:r>
      <w:r w:rsidRPr="004B507B">
        <w:rPr>
          <w:rFonts w:ascii="Arial" w:eastAsia="楷体_GB2312" w:hAnsi="Arial" w:cs="楷体_GB2312" w:hint="eastAsia"/>
        </w:rPr>
        <w:t>至</w:t>
      </w:r>
      <w:r w:rsidRPr="004B507B">
        <w:rPr>
          <w:rFonts w:ascii="Arial" w:eastAsia="楷体_GB2312" w:hAnsi="Arial" w:cs="Arial"/>
        </w:rPr>
        <w:t>2012</w:t>
      </w:r>
      <w:r w:rsidRPr="004B507B">
        <w:rPr>
          <w:rFonts w:ascii="Arial" w:eastAsia="楷体_GB2312" w:hAnsi="Arial" w:cs="楷体_GB2312" w:hint="eastAsia"/>
        </w:rPr>
        <w:t>年，</w:t>
      </w:r>
      <w:r>
        <w:rPr>
          <w:rFonts w:ascii="Arial" w:eastAsia="楷体_GB2312" w:hAnsi="Arial" w:cs="楷体_GB2312" w:hint="eastAsia"/>
        </w:rPr>
        <w:t>联合咨询中心</w:t>
      </w:r>
      <w:r w:rsidRPr="004B507B">
        <w:rPr>
          <w:rFonts w:ascii="Arial" w:eastAsia="楷体_GB2312" w:hAnsi="Arial" w:cs="楷体_GB2312" w:hint="eastAsia"/>
        </w:rPr>
        <w:t>收集并分析了长达七年高管薪酬数据，</w:t>
      </w:r>
      <w:r>
        <w:rPr>
          <w:rFonts w:ascii="Arial" w:eastAsia="楷体_GB2312" w:hAnsi="Arial" w:cs="楷体_GB2312" w:hint="eastAsia"/>
        </w:rPr>
        <w:t>通过深入的研究</w:t>
      </w:r>
      <w:r w:rsidRPr="004B507B">
        <w:rPr>
          <w:rFonts w:ascii="Arial" w:eastAsia="楷体_GB2312" w:hAnsi="Arial" w:cs="楷体_GB2312" w:hint="eastAsia"/>
        </w:rPr>
        <w:t>发现了影响当前上市公司高管薪酬的五大因素，</w:t>
      </w:r>
      <w:r>
        <w:rPr>
          <w:rFonts w:ascii="Arial" w:eastAsia="楷体_GB2312" w:hAnsi="Arial" w:cs="楷体_GB2312" w:hint="eastAsia"/>
        </w:rPr>
        <w:t>建立了上市公司高管薪酬水平市场标杆模型。</w:t>
      </w:r>
    </w:p>
    <w:p w:rsidR="00DA0843" w:rsidRDefault="00DA0843" w:rsidP="00370B4F">
      <w:pPr>
        <w:spacing w:beforeLines="50"/>
        <w:ind w:firstLineChars="200" w:firstLine="31680"/>
        <w:rPr>
          <w:rFonts w:ascii="Arial" w:eastAsia="楷体_GB2312" w:hAnsi="Arial" w:cs="Times New Roman"/>
        </w:rPr>
      </w:pPr>
      <w:r>
        <w:rPr>
          <w:rFonts w:ascii="Arial" w:eastAsia="楷体_GB2312" w:hAnsi="Arial" w:cs="Arial"/>
        </w:rPr>
        <w:t>2012</w:t>
      </w:r>
      <w:r>
        <w:rPr>
          <w:rFonts w:ascii="Arial" w:eastAsia="楷体_GB2312" w:hAnsi="Arial" w:cs="楷体_GB2312" w:hint="eastAsia"/>
        </w:rPr>
        <w:t>年，联合咨询中心继续对上市公司高管薪酬进行分析和研究，推出了江苏省上市公司高管薪酬研究报告</w:t>
      </w:r>
      <w:r w:rsidRPr="004B507B">
        <w:rPr>
          <w:rFonts w:ascii="Arial" w:eastAsia="楷体_GB2312" w:hAnsi="Arial" w:cs="楷体_GB2312" w:hint="eastAsia"/>
        </w:rPr>
        <w:t>。</w:t>
      </w:r>
      <w:r w:rsidRPr="00C930CD">
        <w:rPr>
          <w:rFonts w:ascii="Arial" w:eastAsia="楷体_GB2312" w:hAnsi="Arial" w:cs="楷体_GB2312" w:hint="eastAsia"/>
        </w:rPr>
        <w:t>报告内容涵盖</w:t>
      </w:r>
      <w:r>
        <w:rPr>
          <w:rFonts w:ascii="Arial" w:eastAsia="楷体_GB2312" w:hAnsi="Arial" w:cs="楷体_GB2312" w:hint="eastAsia"/>
        </w:rPr>
        <w:t>江苏省</w:t>
      </w:r>
      <w:r w:rsidRPr="00C930CD">
        <w:rPr>
          <w:rFonts w:ascii="Arial" w:eastAsia="楷体_GB2312" w:hAnsi="Arial" w:cs="楷体_GB2312" w:hint="eastAsia"/>
        </w:rPr>
        <w:t>上市公司情况、上市公司高管薪酬</w:t>
      </w:r>
      <w:r>
        <w:rPr>
          <w:rStyle w:val="FootnoteReference"/>
          <w:rFonts w:ascii="Arial" w:eastAsia="楷体_GB2312" w:hAnsi="Arial" w:cs="Times New Roman"/>
        </w:rPr>
        <w:footnoteReference w:id="1"/>
      </w:r>
      <w:r w:rsidRPr="00C930CD">
        <w:rPr>
          <w:rFonts w:ascii="Arial" w:eastAsia="楷体_GB2312" w:hAnsi="Arial" w:cs="楷体_GB2312" w:hint="eastAsia"/>
        </w:rPr>
        <w:t>情况以及所处市场的经济发展状况。报告详细分析</w:t>
      </w:r>
      <w:r>
        <w:rPr>
          <w:rFonts w:ascii="Arial" w:eastAsia="楷体_GB2312" w:hAnsi="Arial" w:cs="楷体_GB2312" w:hint="eastAsia"/>
        </w:rPr>
        <w:t>江苏地区</w:t>
      </w:r>
      <w:r w:rsidRPr="00C930CD">
        <w:rPr>
          <w:rFonts w:ascii="Arial" w:eastAsia="楷体_GB2312" w:hAnsi="Arial" w:cs="楷体_GB2312" w:hint="eastAsia"/>
        </w:rPr>
        <w:t>市场高管薪酬的分位值、平均值、离散度等分布情况，研究比对不同市场高管薪酬结构和比例，深度探讨高管薪酬与经营业绩、公司规模等因素的相关性，并利用</w:t>
      </w:r>
      <w:r>
        <w:rPr>
          <w:rFonts w:ascii="Arial" w:eastAsia="楷体_GB2312" w:hAnsi="Arial" w:cs="楷体_GB2312" w:hint="eastAsia"/>
        </w:rPr>
        <w:t>联合咨询中心</w:t>
      </w:r>
      <w:r w:rsidRPr="00C930CD">
        <w:rPr>
          <w:rFonts w:ascii="Arial" w:eastAsia="楷体_GB2312" w:hAnsi="Arial" w:cs="楷体_GB2312" w:hint="eastAsia"/>
        </w:rPr>
        <w:t>上市公司高管薪酬分析工具评价</w:t>
      </w:r>
      <w:r>
        <w:rPr>
          <w:rFonts w:ascii="Arial" w:eastAsia="楷体_GB2312" w:hAnsi="Arial" w:cs="楷体_GB2312" w:hint="eastAsia"/>
        </w:rPr>
        <w:t>江苏地区</w:t>
      </w:r>
      <w:r w:rsidRPr="00C930CD">
        <w:rPr>
          <w:rFonts w:ascii="Arial" w:eastAsia="楷体_GB2312" w:hAnsi="Arial" w:cs="楷体_GB2312" w:hint="eastAsia"/>
        </w:rPr>
        <w:t>高管薪酬的市场合理性，最终对</w:t>
      </w:r>
      <w:r>
        <w:rPr>
          <w:rFonts w:ascii="Arial" w:eastAsia="楷体_GB2312" w:hAnsi="Arial" w:cs="楷体_GB2312" w:hint="eastAsia"/>
        </w:rPr>
        <w:t>江苏地区</w:t>
      </w:r>
      <w:r w:rsidRPr="00C930CD">
        <w:rPr>
          <w:rFonts w:ascii="Arial" w:eastAsia="楷体_GB2312" w:hAnsi="Arial" w:cs="楷体_GB2312" w:hint="eastAsia"/>
        </w:rPr>
        <w:t>高管薪酬管理</w:t>
      </w:r>
      <w:r>
        <w:rPr>
          <w:rFonts w:ascii="Arial" w:eastAsia="楷体_GB2312" w:hAnsi="Arial" w:cs="楷体_GB2312" w:hint="eastAsia"/>
        </w:rPr>
        <w:t>提出</w:t>
      </w:r>
      <w:r w:rsidRPr="00C930CD">
        <w:rPr>
          <w:rFonts w:ascii="Arial" w:eastAsia="楷体_GB2312" w:hAnsi="Arial" w:cs="楷体_GB2312" w:hint="eastAsia"/>
        </w:rPr>
        <w:t>合适的建议。</w:t>
      </w:r>
    </w:p>
    <w:p w:rsidR="00DA0843" w:rsidRPr="00FE64E1" w:rsidRDefault="00DA0843" w:rsidP="008D4B5F">
      <w:pPr>
        <w:spacing w:beforeLines="50" w:line="276" w:lineRule="auto"/>
        <w:outlineLvl w:val="0"/>
        <w:rPr>
          <w:rFonts w:ascii="Arial" w:eastAsia="楷体_GB2312" w:hAnsi="Arial" w:cs="Times New Roman"/>
          <w:b/>
          <w:bCs/>
          <w:sz w:val="24"/>
          <w:szCs w:val="24"/>
        </w:rPr>
      </w:pPr>
      <w:r>
        <w:rPr>
          <w:rFonts w:ascii="Arial" w:eastAsia="楷体_GB2312" w:hAnsi="Arial" w:cs="楷体_GB2312" w:hint="eastAsia"/>
          <w:b/>
          <w:bCs/>
          <w:sz w:val="24"/>
          <w:szCs w:val="24"/>
        </w:rPr>
        <w:t>江苏地区经济发展及上市公司</w:t>
      </w:r>
      <w:r w:rsidRPr="00FE64E1">
        <w:rPr>
          <w:rFonts w:ascii="Arial" w:eastAsia="楷体_GB2312" w:hAnsi="Arial" w:cs="楷体_GB2312" w:hint="eastAsia"/>
          <w:b/>
          <w:bCs/>
          <w:sz w:val="24"/>
          <w:szCs w:val="24"/>
        </w:rPr>
        <w:t>基本情况</w:t>
      </w:r>
    </w:p>
    <w:p w:rsidR="00DA0843" w:rsidRDefault="00DA0843" w:rsidP="008D4B5F">
      <w:pPr>
        <w:spacing w:beforeLines="50"/>
        <w:outlineLvl w:val="1"/>
        <w:rPr>
          <w:rFonts w:ascii="Arial" w:eastAsia="楷体_GB2312" w:hAnsi="Arial" w:cs="Times New Roman"/>
          <w:b/>
          <w:bCs/>
          <w:sz w:val="22"/>
          <w:szCs w:val="22"/>
        </w:rPr>
      </w:pPr>
      <w:r w:rsidRPr="002119D5">
        <w:rPr>
          <w:rFonts w:ascii="Arial" w:eastAsia="楷体_GB2312" w:hAnsi="Arial" w:cs="Arial"/>
          <w:b/>
          <w:bCs/>
          <w:sz w:val="22"/>
          <w:szCs w:val="22"/>
        </w:rPr>
        <w:t>201</w:t>
      </w:r>
      <w:r>
        <w:rPr>
          <w:rFonts w:ascii="Arial" w:eastAsia="楷体_GB2312" w:hAnsi="Arial" w:cs="Arial"/>
          <w:b/>
          <w:bCs/>
          <w:sz w:val="22"/>
          <w:szCs w:val="22"/>
        </w:rPr>
        <w:t>2</w:t>
      </w:r>
      <w:r w:rsidRPr="002119D5">
        <w:rPr>
          <w:rFonts w:ascii="Arial" w:eastAsia="楷体_GB2312" w:hAnsi="Arial" w:cs="楷体_GB2312" w:hint="eastAsia"/>
          <w:b/>
          <w:bCs/>
          <w:sz w:val="22"/>
          <w:szCs w:val="22"/>
        </w:rPr>
        <w:t>年江苏省经济平稳增长，</w:t>
      </w:r>
      <w:r w:rsidRPr="002119D5">
        <w:rPr>
          <w:rFonts w:ascii="Arial" w:eastAsia="楷体_GB2312" w:hAnsi="Arial" w:cs="Arial"/>
          <w:b/>
          <w:bCs/>
          <w:sz w:val="22"/>
          <w:szCs w:val="22"/>
        </w:rPr>
        <w:t>GDP</w:t>
      </w:r>
      <w:r w:rsidRPr="002119D5">
        <w:rPr>
          <w:rFonts w:ascii="Arial" w:eastAsia="楷体_GB2312" w:hAnsi="Arial" w:cs="楷体_GB2312" w:hint="eastAsia"/>
          <w:b/>
          <w:bCs/>
          <w:sz w:val="22"/>
          <w:szCs w:val="22"/>
        </w:rPr>
        <w:t>总量位居全国第二，人均</w:t>
      </w:r>
      <w:r w:rsidRPr="002119D5">
        <w:rPr>
          <w:rFonts w:ascii="Arial" w:eastAsia="楷体_GB2312" w:hAnsi="Arial" w:cs="Arial"/>
          <w:b/>
          <w:bCs/>
          <w:sz w:val="22"/>
          <w:szCs w:val="22"/>
        </w:rPr>
        <w:t>GDP</w:t>
      </w:r>
      <w:r>
        <w:rPr>
          <w:rFonts w:ascii="Arial" w:eastAsia="楷体_GB2312" w:hAnsi="Arial" w:cs="楷体_GB2312" w:hint="eastAsia"/>
          <w:b/>
          <w:bCs/>
          <w:sz w:val="22"/>
          <w:szCs w:val="22"/>
        </w:rPr>
        <w:t>位列</w:t>
      </w:r>
      <w:r w:rsidRPr="002119D5">
        <w:rPr>
          <w:rFonts w:ascii="Arial" w:eastAsia="楷体_GB2312" w:hAnsi="Arial" w:cs="楷体_GB2312" w:hint="eastAsia"/>
          <w:b/>
          <w:bCs/>
          <w:sz w:val="22"/>
          <w:szCs w:val="22"/>
        </w:rPr>
        <w:t>全国第四</w:t>
      </w:r>
      <w:bookmarkEnd w:id="0"/>
    </w:p>
    <w:p w:rsidR="00DA0843" w:rsidRDefault="00DA0843" w:rsidP="008D4B5F">
      <w:pPr>
        <w:spacing w:beforeLines="50"/>
        <w:ind w:firstLine="405"/>
        <w:rPr>
          <w:rFonts w:ascii="Arial" w:eastAsia="楷体_GB2312" w:hAnsi="Arial" w:cs="Times New Roman"/>
        </w:rPr>
      </w:pPr>
      <w:r w:rsidRPr="00366A6C">
        <w:rPr>
          <w:rFonts w:ascii="Arial" w:eastAsia="楷体_GB2312" w:hAnsi="Arial" w:cs="Arial"/>
        </w:rPr>
        <w:t>2008</w:t>
      </w:r>
      <w:r w:rsidRPr="00366A6C">
        <w:rPr>
          <w:rFonts w:ascii="Arial" w:eastAsia="楷体_GB2312" w:hAnsi="Arial" w:cs="楷体_GB2312" w:hint="eastAsia"/>
        </w:rPr>
        <w:t>年至</w:t>
      </w:r>
      <w:r>
        <w:rPr>
          <w:rFonts w:ascii="Arial" w:eastAsia="楷体_GB2312" w:hAnsi="Arial" w:cs="Arial"/>
        </w:rPr>
        <w:t>2012</w:t>
      </w:r>
      <w:r w:rsidRPr="00366A6C">
        <w:rPr>
          <w:rFonts w:ascii="Arial" w:eastAsia="楷体_GB2312" w:hAnsi="Arial" w:cs="楷体_GB2312" w:hint="eastAsia"/>
        </w:rPr>
        <w:t>年江苏省经济实现平稳增长，整体经济发展处于全国前列。</w:t>
      </w:r>
      <w:r>
        <w:rPr>
          <w:rFonts w:ascii="Arial" w:eastAsia="楷体_GB2312" w:hAnsi="Arial" w:cs="Arial"/>
        </w:rPr>
        <w:t>2012</w:t>
      </w:r>
      <w:r w:rsidRPr="00366A6C">
        <w:rPr>
          <w:rFonts w:ascii="Arial" w:eastAsia="楷体_GB2312" w:hAnsi="Arial" w:cs="楷体_GB2312" w:hint="eastAsia"/>
        </w:rPr>
        <w:t>年江苏省</w:t>
      </w:r>
      <w:r w:rsidRPr="00366A6C">
        <w:rPr>
          <w:rFonts w:ascii="Arial" w:eastAsia="楷体_GB2312" w:hAnsi="Arial" w:cs="Arial"/>
        </w:rPr>
        <w:t>GDP</w:t>
      </w:r>
      <w:r w:rsidRPr="00366A6C">
        <w:rPr>
          <w:rFonts w:ascii="Arial" w:eastAsia="楷体_GB2312" w:hAnsi="Arial" w:cs="楷体_GB2312" w:hint="eastAsia"/>
        </w:rPr>
        <w:t>总量位居全国第二，为</w:t>
      </w:r>
      <w:r>
        <w:rPr>
          <w:rFonts w:ascii="Arial" w:eastAsia="楷体_GB2312" w:hAnsi="Arial" w:cs="Arial"/>
        </w:rPr>
        <w:t>5.4</w:t>
      </w:r>
      <w:r w:rsidRPr="00366A6C">
        <w:rPr>
          <w:rFonts w:ascii="Arial" w:eastAsia="楷体_GB2312" w:hAnsi="Arial" w:cs="楷体_GB2312" w:hint="eastAsia"/>
        </w:rPr>
        <w:t>万亿元，</w:t>
      </w:r>
      <w:r>
        <w:rPr>
          <w:rFonts w:ascii="Arial" w:eastAsia="楷体_GB2312" w:hAnsi="Arial" w:cs="楷体_GB2312" w:hint="eastAsia"/>
        </w:rPr>
        <w:t>仅次于广东，</w:t>
      </w:r>
      <w:r w:rsidRPr="00366A6C">
        <w:rPr>
          <w:rFonts w:ascii="Arial" w:eastAsia="楷体_GB2312" w:hAnsi="Arial" w:cs="楷体_GB2312" w:hint="eastAsia"/>
        </w:rPr>
        <w:t>按可比价计算比上年增长</w:t>
      </w:r>
      <w:r>
        <w:rPr>
          <w:rFonts w:ascii="Arial" w:eastAsia="楷体_GB2312" w:hAnsi="Arial" w:cs="Arial"/>
        </w:rPr>
        <w:t>10.1</w:t>
      </w:r>
      <w:r w:rsidRPr="00366A6C">
        <w:rPr>
          <w:rFonts w:ascii="Arial" w:eastAsia="楷体_GB2312" w:hAnsi="Arial" w:cs="Arial"/>
        </w:rPr>
        <w:t>%</w:t>
      </w:r>
      <w:r w:rsidRPr="00366A6C">
        <w:rPr>
          <w:rFonts w:ascii="Arial" w:eastAsia="楷体_GB2312" w:hAnsi="Arial" w:cs="楷体_GB2312" w:hint="eastAsia"/>
        </w:rPr>
        <w:t>。在人均</w:t>
      </w:r>
      <w:r w:rsidRPr="00366A6C">
        <w:rPr>
          <w:rFonts w:ascii="Arial" w:eastAsia="楷体_GB2312" w:hAnsi="Arial" w:cs="Arial"/>
        </w:rPr>
        <w:t>GDP</w:t>
      </w:r>
      <w:r w:rsidRPr="00366A6C">
        <w:rPr>
          <w:rFonts w:ascii="Arial" w:eastAsia="楷体_GB2312" w:hAnsi="Arial" w:cs="楷体_GB2312" w:hint="eastAsia"/>
        </w:rPr>
        <w:t>方面，</w:t>
      </w:r>
      <w:r w:rsidRPr="00366A6C">
        <w:rPr>
          <w:rFonts w:ascii="Arial" w:eastAsia="楷体_GB2312" w:hAnsi="Arial" w:cs="Arial"/>
        </w:rPr>
        <w:t>201</w:t>
      </w:r>
      <w:r>
        <w:rPr>
          <w:rFonts w:ascii="Arial" w:eastAsia="楷体_GB2312" w:hAnsi="Arial" w:cs="Arial"/>
        </w:rPr>
        <w:t>2</w:t>
      </w:r>
      <w:r w:rsidRPr="00366A6C">
        <w:rPr>
          <w:rFonts w:ascii="Arial" w:eastAsia="楷体_GB2312" w:hAnsi="Arial" w:cs="楷体_GB2312" w:hint="eastAsia"/>
        </w:rPr>
        <w:t>年江苏省人均</w:t>
      </w:r>
      <w:r w:rsidRPr="00366A6C">
        <w:rPr>
          <w:rFonts w:ascii="Arial" w:eastAsia="楷体_GB2312" w:hAnsi="Arial" w:cs="Arial"/>
        </w:rPr>
        <w:t>GDP</w:t>
      </w:r>
      <w:r w:rsidRPr="00366A6C">
        <w:rPr>
          <w:rFonts w:ascii="Arial" w:eastAsia="楷体_GB2312" w:hAnsi="Arial" w:cs="楷体_GB2312" w:hint="eastAsia"/>
        </w:rPr>
        <w:t>在全国地区人均</w:t>
      </w:r>
      <w:r w:rsidRPr="00366A6C">
        <w:rPr>
          <w:rFonts w:ascii="Arial" w:eastAsia="楷体_GB2312" w:hAnsi="Arial" w:cs="Arial"/>
        </w:rPr>
        <w:t>GDP</w:t>
      </w:r>
      <w:r w:rsidRPr="00366A6C">
        <w:rPr>
          <w:rFonts w:ascii="Arial" w:eastAsia="楷体_GB2312" w:hAnsi="Arial" w:cs="楷体_GB2312" w:hint="eastAsia"/>
        </w:rPr>
        <w:t>排名中位列第四。</w:t>
      </w:r>
      <w:r w:rsidRPr="00366A6C">
        <w:rPr>
          <w:rFonts w:ascii="Arial" w:eastAsia="楷体_GB2312" w:hAnsi="Arial" w:cs="Arial"/>
        </w:rPr>
        <w:t>201</w:t>
      </w:r>
      <w:r>
        <w:rPr>
          <w:rFonts w:ascii="Arial" w:eastAsia="楷体_GB2312" w:hAnsi="Arial" w:cs="Arial"/>
        </w:rPr>
        <w:t>2</w:t>
      </w:r>
      <w:r w:rsidRPr="00366A6C">
        <w:rPr>
          <w:rFonts w:ascii="Arial" w:eastAsia="楷体_GB2312" w:hAnsi="Arial" w:cs="楷体_GB2312" w:hint="eastAsia"/>
        </w:rPr>
        <w:t>年江苏省城镇居民人均可支配收入达</w:t>
      </w:r>
      <w:r w:rsidRPr="00366A6C">
        <w:rPr>
          <w:rFonts w:ascii="Arial" w:eastAsia="楷体_GB2312" w:hAnsi="Arial" w:cs="Arial"/>
        </w:rPr>
        <w:t>2</w:t>
      </w:r>
      <w:r>
        <w:rPr>
          <w:rFonts w:ascii="Arial" w:eastAsia="楷体_GB2312" w:hAnsi="Arial" w:cs="Arial"/>
        </w:rPr>
        <w:t>.97</w:t>
      </w:r>
      <w:r w:rsidRPr="00366A6C">
        <w:rPr>
          <w:rFonts w:ascii="Arial" w:eastAsia="楷体_GB2312" w:hAnsi="Arial" w:cs="楷体_GB2312" w:hint="eastAsia"/>
        </w:rPr>
        <w:t>万元，比上年增长</w:t>
      </w:r>
      <w:r>
        <w:rPr>
          <w:rFonts w:ascii="Arial" w:eastAsia="楷体_GB2312" w:hAnsi="Arial" w:cs="Arial"/>
        </w:rPr>
        <w:t>12.7</w:t>
      </w:r>
      <w:r w:rsidRPr="00366A6C">
        <w:rPr>
          <w:rFonts w:ascii="Arial" w:eastAsia="楷体_GB2312" w:hAnsi="Arial" w:cs="Arial"/>
        </w:rPr>
        <w:t>%</w:t>
      </w:r>
      <w:r w:rsidRPr="00366A6C">
        <w:rPr>
          <w:rFonts w:ascii="Arial" w:eastAsia="楷体_GB2312" w:hAnsi="Arial" w:cs="楷体_GB2312" w:hint="eastAsia"/>
        </w:rPr>
        <w:t>，扣除物价上涨因素，实际增长</w:t>
      </w:r>
      <w:r>
        <w:rPr>
          <w:rFonts w:ascii="Arial" w:eastAsia="楷体_GB2312" w:hAnsi="Arial" w:cs="Arial"/>
        </w:rPr>
        <w:t>9.9</w:t>
      </w:r>
      <w:r w:rsidRPr="00366A6C">
        <w:rPr>
          <w:rFonts w:ascii="Arial" w:eastAsia="楷体_GB2312" w:hAnsi="Arial" w:cs="Arial"/>
        </w:rPr>
        <w:t>%</w:t>
      </w:r>
      <w:r>
        <w:rPr>
          <w:rFonts w:ascii="Arial" w:eastAsia="楷体_GB2312" w:hAnsi="Arial" w:cs="楷体_GB2312" w:hint="eastAsia"/>
        </w:rPr>
        <w:t>。</w:t>
      </w:r>
    </w:p>
    <w:p w:rsidR="00DA0843" w:rsidRPr="002119D5" w:rsidRDefault="00DA0843" w:rsidP="008D4B5F">
      <w:pPr>
        <w:spacing w:beforeLines="50"/>
        <w:outlineLvl w:val="1"/>
        <w:rPr>
          <w:rFonts w:ascii="Arial" w:eastAsia="楷体_GB2312" w:hAnsi="Arial" w:cs="Times New Roman"/>
          <w:b/>
          <w:bCs/>
          <w:sz w:val="22"/>
          <w:szCs w:val="22"/>
        </w:rPr>
      </w:pPr>
      <w:bookmarkStart w:id="1" w:name="_Toc332381624"/>
      <w:r w:rsidRPr="002119D5">
        <w:rPr>
          <w:rFonts w:ascii="Arial" w:eastAsia="楷体_GB2312" w:hAnsi="Arial" w:cs="楷体_GB2312" w:hint="eastAsia"/>
          <w:b/>
          <w:bCs/>
          <w:sz w:val="22"/>
          <w:szCs w:val="22"/>
        </w:rPr>
        <w:t>苏</w:t>
      </w:r>
      <w:r>
        <w:rPr>
          <w:rFonts w:ascii="Arial" w:eastAsia="楷体_GB2312" w:hAnsi="Arial" w:cs="楷体_GB2312" w:hint="eastAsia"/>
          <w:b/>
          <w:bCs/>
          <w:sz w:val="22"/>
          <w:szCs w:val="22"/>
        </w:rPr>
        <w:t>、</w:t>
      </w:r>
      <w:r w:rsidRPr="002119D5">
        <w:rPr>
          <w:rFonts w:ascii="Arial" w:eastAsia="楷体_GB2312" w:hAnsi="Arial" w:cs="楷体_GB2312" w:hint="eastAsia"/>
          <w:b/>
          <w:bCs/>
          <w:sz w:val="22"/>
          <w:szCs w:val="22"/>
        </w:rPr>
        <w:t>锡</w:t>
      </w:r>
      <w:r>
        <w:rPr>
          <w:rFonts w:ascii="Arial" w:eastAsia="楷体_GB2312" w:hAnsi="Arial" w:cs="楷体_GB2312" w:hint="eastAsia"/>
          <w:b/>
          <w:bCs/>
          <w:sz w:val="22"/>
          <w:szCs w:val="22"/>
        </w:rPr>
        <w:t>、</w:t>
      </w:r>
      <w:r w:rsidRPr="002119D5">
        <w:rPr>
          <w:rFonts w:ascii="Arial" w:eastAsia="楷体_GB2312" w:hAnsi="Arial" w:cs="楷体_GB2312" w:hint="eastAsia"/>
          <w:b/>
          <w:bCs/>
          <w:sz w:val="22"/>
          <w:szCs w:val="22"/>
        </w:rPr>
        <w:t>宁占据</w:t>
      </w:r>
      <w:r>
        <w:rPr>
          <w:rFonts w:ascii="Arial" w:eastAsia="楷体_GB2312" w:hAnsi="Arial" w:cs="楷体_GB2312" w:hint="eastAsia"/>
          <w:b/>
          <w:bCs/>
          <w:sz w:val="22"/>
          <w:szCs w:val="22"/>
        </w:rPr>
        <w:t>江</w:t>
      </w:r>
      <w:r w:rsidRPr="002119D5">
        <w:rPr>
          <w:rFonts w:ascii="Arial" w:eastAsia="楷体_GB2312" w:hAnsi="Arial" w:cs="楷体_GB2312" w:hint="eastAsia"/>
          <w:b/>
          <w:bCs/>
          <w:sz w:val="22"/>
          <w:szCs w:val="22"/>
        </w:rPr>
        <w:t>苏上市公司半壁江山，制造业比例最高，非公经济活跃</w:t>
      </w:r>
    </w:p>
    <w:bookmarkEnd w:id="1"/>
    <w:p w:rsidR="00DA0843" w:rsidRPr="002119D5" w:rsidRDefault="00DA0843" w:rsidP="00370B4F">
      <w:pPr>
        <w:spacing w:beforeLines="50"/>
        <w:ind w:firstLineChars="200" w:firstLine="31680"/>
        <w:rPr>
          <w:rFonts w:ascii="Arial" w:eastAsia="楷体_GB2312" w:hAnsi="Arial" w:cs="Times New Roman"/>
        </w:rPr>
      </w:pPr>
      <w:r w:rsidRPr="00D0659C">
        <w:rPr>
          <w:rFonts w:ascii="Arial" w:eastAsia="楷体_GB2312" w:hAnsi="Arial" w:cs="楷体_GB2312" w:hint="eastAsia"/>
        </w:rPr>
        <w:t>从城市分布上看，江苏省十三个地级市当中，除淮安市目前没有上市公司外，其余城市均有上市公司。省内上市公司主要分布于苏州、南京、无锡，三市上市公司数量分别占到江苏省内上市公司总数的</w:t>
      </w:r>
      <w:r w:rsidRPr="00D0659C">
        <w:rPr>
          <w:rFonts w:ascii="Arial" w:eastAsia="楷体_GB2312" w:hAnsi="Arial" w:cs="Arial"/>
        </w:rPr>
        <w:t>2</w:t>
      </w:r>
      <w:r>
        <w:rPr>
          <w:rFonts w:ascii="Arial" w:eastAsia="楷体_GB2312" w:hAnsi="Arial" w:cs="Arial"/>
        </w:rPr>
        <w:t>8</w:t>
      </w:r>
      <w:r w:rsidRPr="00D0659C">
        <w:rPr>
          <w:rFonts w:ascii="Arial" w:eastAsia="楷体_GB2312" w:hAnsi="Arial" w:cs="Arial"/>
        </w:rPr>
        <w:t>%</w:t>
      </w:r>
      <w:r w:rsidRPr="00D0659C">
        <w:rPr>
          <w:rFonts w:ascii="Arial" w:eastAsia="楷体_GB2312" w:hAnsi="Arial" w:cs="楷体_GB2312" w:hint="eastAsia"/>
        </w:rPr>
        <w:t>、</w:t>
      </w:r>
      <w:r w:rsidRPr="00D0659C">
        <w:rPr>
          <w:rFonts w:ascii="Arial" w:eastAsia="楷体_GB2312" w:hAnsi="Arial" w:cs="Arial"/>
        </w:rPr>
        <w:t>20%</w:t>
      </w:r>
      <w:r w:rsidRPr="00D0659C">
        <w:rPr>
          <w:rFonts w:ascii="Arial" w:eastAsia="楷体_GB2312" w:hAnsi="Arial" w:cs="楷体_GB2312" w:hint="eastAsia"/>
        </w:rPr>
        <w:t>和</w:t>
      </w:r>
      <w:r w:rsidRPr="00D0659C">
        <w:rPr>
          <w:rFonts w:ascii="Arial" w:eastAsia="楷体_GB2312" w:hAnsi="Arial" w:cs="Arial"/>
        </w:rPr>
        <w:t>17%</w:t>
      </w:r>
      <w:r w:rsidRPr="00D0659C">
        <w:rPr>
          <w:rFonts w:ascii="Arial" w:eastAsia="楷体_GB2312" w:hAnsi="Arial" w:cs="楷体_GB2312" w:hint="eastAsia"/>
        </w:rPr>
        <w:t>。</w:t>
      </w:r>
    </w:p>
    <w:p w:rsidR="00DA0843" w:rsidRPr="002119D5" w:rsidRDefault="00DA0843" w:rsidP="00CD4E43">
      <w:pPr>
        <w:spacing w:beforeLines="50"/>
        <w:ind w:firstLineChars="200" w:firstLine="31680"/>
        <w:rPr>
          <w:rFonts w:ascii="Arial" w:eastAsia="楷体_GB2312" w:hAnsi="Arial" w:cs="Times New Roman"/>
        </w:rPr>
      </w:pPr>
      <w:r w:rsidRPr="00D54B5F">
        <w:rPr>
          <w:rFonts w:ascii="Arial" w:eastAsia="楷体_GB2312" w:hAnsi="Arial" w:cs="楷体_GB2312" w:hint="eastAsia"/>
        </w:rPr>
        <w:t>从行业分布上看，江苏省上市公司共涉及</w:t>
      </w:r>
      <w:r w:rsidRPr="00D54B5F">
        <w:rPr>
          <w:rFonts w:ascii="Arial" w:eastAsia="楷体_GB2312" w:hAnsi="Arial" w:cs="Arial"/>
        </w:rPr>
        <w:t>11</w:t>
      </w:r>
      <w:r w:rsidRPr="00D54B5F">
        <w:rPr>
          <w:rFonts w:ascii="Arial" w:eastAsia="楷体_GB2312" w:hAnsi="Arial" w:cs="楷体_GB2312" w:hint="eastAsia"/>
        </w:rPr>
        <w:t>个行业，其中制造业所占比例最大，高达</w:t>
      </w:r>
      <w:r w:rsidRPr="00D54B5F">
        <w:rPr>
          <w:rFonts w:ascii="Arial" w:eastAsia="楷体_GB2312" w:hAnsi="Arial" w:cs="Arial"/>
        </w:rPr>
        <w:t>71.9%</w:t>
      </w:r>
      <w:r w:rsidRPr="00D54B5F">
        <w:rPr>
          <w:rFonts w:ascii="Arial" w:eastAsia="楷体_GB2312" w:hAnsi="Arial" w:cs="楷体_GB2312" w:hint="eastAsia"/>
        </w:rPr>
        <w:t>，信息技术业与批发和零售贸易业也占到一定的比例，分别为</w:t>
      </w:r>
      <w:r>
        <w:rPr>
          <w:rFonts w:ascii="Arial" w:eastAsia="楷体_GB2312" w:hAnsi="Arial" w:cs="Arial"/>
        </w:rPr>
        <w:t>6.8</w:t>
      </w:r>
      <w:r w:rsidRPr="00D54B5F">
        <w:rPr>
          <w:rFonts w:ascii="Arial" w:eastAsia="楷体_GB2312" w:hAnsi="Arial" w:cs="Arial"/>
        </w:rPr>
        <w:t>%</w:t>
      </w:r>
      <w:r w:rsidRPr="00D54B5F">
        <w:rPr>
          <w:rFonts w:ascii="Arial" w:eastAsia="楷体_GB2312" w:hAnsi="Arial" w:cs="楷体_GB2312" w:hint="eastAsia"/>
        </w:rPr>
        <w:t>和</w:t>
      </w:r>
      <w:r>
        <w:rPr>
          <w:rFonts w:ascii="Arial" w:eastAsia="楷体_GB2312" w:hAnsi="Arial" w:cs="Arial"/>
        </w:rPr>
        <w:t>6.4</w:t>
      </w:r>
      <w:r w:rsidRPr="00D54B5F">
        <w:rPr>
          <w:rFonts w:ascii="Arial" w:eastAsia="楷体_GB2312" w:hAnsi="Arial" w:cs="Arial"/>
        </w:rPr>
        <w:t>%</w:t>
      </w:r>
      <w:r w:rsidRPr="00D54B5F">
        <w:rPr>
          <w:rFonts w:ascii="Arial" w:eastAsia="楷体_GB2312" w:hAnsi="Arial" w:cs="楷体_GB2312" w:hint="eastAsia"/>
        </w:rPr>
        <w:t>，其他行业数量较少。</w:t>
      </w:r>
    </w:p>
    <w:p w:rsidR="00DA0843" w:rsidRDefault="00DA0843" w:rsidP="00CD4E43">
      <w:pPr>
        <w:spacing w:beforeLines="50"/>
        <w:ind w:firstLineChars="200" w:firstLine="31680"/>
        <w:rPr>
          <w:rFonts w:ascii="Arial" w:eastAsia="楷体_GB2312" w:hAnsi="Arial" w:cs="Times New Roman"/>
        </w:rPr>
      </w:pPr>
      <w:bookmarkStart w:id="2" w:name="_Toc332381627"/>
      <w:r w:rsidRPr="00047506">
        <w:rPr>
          <w:rFonts w:ascii="Arial" w:eastAsia="楷体_GB2312" w:hAnsi="Arial" w:cs="楷体_GB2312" w:hint="eastAsia"/>
        </w:rPr>
        <w:t>从公司所有制上看，江苏省内国有</w:t>
      </w:r>
      <w:r w:rsidRPr="00047506">
        <w:rPr>
          <w:rStyle w:val="FootnoteReference"/>
          <w:rFonts w:ascii="Arial" w:eastAsia="楷体_GB2312" w:hAnsi="Arial" w:cs="Times New Roman"/>
        </w:rPr>
        <w:footnoteReference w:id="2"/>
      </w:r>
      <w:r w:rsidRPr="00047506">
        <w:rPr>
          <w:rFonts w:ascii="Arial" w:eastAsia="楷体_GB2312" w:hAnsi="Arial" w:cs="楷体_GB2312" w:hint="eastAsia"/>
        </w:rPr>
        <w:t>控股上市公司数量低于非国有控股上市公司，非公有制经济占了绝大多数。在江苏省上市公司中，国有控股上市公司占比</w:t>
      </w:r>
      <w:r>
        <w:rPr>
          <w:rFonts w:ascii="Arial" w:eastAsia="楷体_GB2312" w:hAnsi="Arial" w:cs="Arial"/>
        </w:rPr>
        <w:t>26</w:t>
      </w:r>
      <w:r w:rsidRPr="00047506">
        <w:rPr>
          <w:rFonts w:ascii="Arial" w:eastAsia="楷体_GB2312" w:hAnsi="Arial" w:cs="Arial"/>
        </w:rPr>
        <w:t>%</w:t>
      </w:r>
      <w:r w:rsidRPr="00047506">
        <w:rPr>
          <w:rFonts w:ascii="Arial" w:eastAsia="楷体_GB2312" w:hAnsi="Arial" w:cs="楷体_GB2312" w:hint="eastAsia"/>
        </w:rPr>
        <w:t>，非国有控股上市公司占比</w:t>
      </w:r>
      <w:r>
        <w:rPr>
          <w:rFonts w:ascii="Arial" w:eastAsia="楷体_GB2312" w:hAnsi="Arial" w:cs="Arial"/>
        </w:rPr>
        <w:t>74</w:t>
      </w:r>
      <w:r w:rsidRPr="00047506">
        <w:rPr>
          <w:rFonts w:ascii="Arial" w:eastAsia="楷体_GB2312" w:hAnsi="Arial" w:cs="Arial"/>
        </w:rPr>
        <w:t>%</w:t>
      </w:r>
      <w:r w:rsidRPr="00047506">
        <w:rPr>
          <w:rFonts w:ascii="Arial" w:eastAsia="楷体_GB2312" w:hAnsi="Arial" w:cs="楷体_GB2312" w:hint="eastAsia"/>
        </w:rPr>
        <w:t>，非国有控股上市公司数量大约是国有控股上市公司数量的</w:t>
      </w:r>
      <w:r w:rsidRPr="00047506">
        <w:rPr>
          <w:rFonts w:ascii="Arial" w:eastAsia="楷体_GB2312" w:hAnsi="Arial" w:cs="Arial"/>
        </w:rPr>
        <w:t>2</w:t>
      </w:r>
      <w:r w:rsidRPr="00047506">
        <w:rPr>
          <w:rFonts w:ascii="Arial" w:eastAsia="楷体_GB2312" w:hAnsi="Arial" w:cs="楷体_GB2312" w:hint="eastAsia"/>
        </w:rPr>
        <w:t>倍多。</w:t>
      </w:r>
    </w:p>
    <w:p w:rsidR="00DA0843" w:rsidRPr="00FE64E1" w:rsidRDefault="00DA0843" w:rsidP="008D4B5F">
      <w:pPr>
        <w:spacing w:beforeLines="50" w:line="276" w:lineRule="auto"/>
        <w:outlineLvl w:val="0"/>
        <w:rPr>
          <w:rFonts w:ascii="Arial" w:eastAsia="楷体_GB2312" w:hAnsi="Arial" w:cs="Times New Roman"/>
          <w:b/>
          <w:bCs/>
          <w:sz w:val="24"/>
          <w:szCs w:val="24"/>
        </w:rPr>
      </w:pPr>
      <w:r>
        <w:rPr>
          <w:rFonts w:ascii="Arial" w:eastAsia="楷体_GB2312" w:hAnsi="Arial" w:cs="楷体_GB2312" w:hint="eastAsia"/>
          <w:b/>
          <w:bCs/>
          <w:sz w:val="24"/>
          <w:szCs w:val="24"/>
        </w:rPr>
        <w:t>江苏地区上市公司高管薪酬特点</w:t>
      </w:r>
    </w:p>
    <w:p w:rsidR="00DA0843" w:rsidRDefault="00DA0843" w:rsidP="008D4B5F">
      <w:pPr>
        <w:pStyle w:val="ListParagraph"/>
        <w:spacing w:beforeLines="50"/>
        <w:ind w:firstLineChars="0"/>
        <w:rPr>
          <w:rFonts w:ascii="Arial" w:eastAsia="楷体_GB2312" w:hAnsi="Arial" w:cs="Times New Roman"/>
        </w:rPr>
      </w:pPr>
      <w:r>
        <w:rPr>
          <w:rFonts w:ascii="Arial" w:eastAsia="楷体_GB2312" w:hAnsi="Arial" w:cs="楷体_GB2312" w:hint="eastAsia"/>
        </w:rPr>
        <w:t>联合咨询中心根据</w:t>
      </w:r>
      <w:r>
        <w:rPr>
          <w:rFonts w:ascii="Arial" w:eastAsia="楷体_GB2312" w:hAnsi="Arial" w:cs="Arial"/>
        </w:rPr>
        <w:t>2008</w:t>
      </w:r>
      <w:r>
        <w:rPr>
          <w:rFonts w:ascii="Arial" w:eastAsia="楷体_GB2312" w:hAnsi="Arial" w:cs="楷体_GB2312" w:hint="eastAsia"/>
        </w:rPr>
        <w:t>至</w:t>
      </w:r>
      <w:r>
        <w:rPr>
          <w:rFonts w:ascii="Arial" w:eastAsia="楷体_GB2312" w:hAnsi="Arial" w:cs="Arial"/>
        </w:rPr>
        <w:t>2012</w:t>
      </w:r>
      <w:r>
        <w:rPr>
          <w:rFonts w:ascii="Arial" w:eastAsia="楷体_GB2312" w:hAnsi="Arial" w:cs="楷体_GB2312" w:hint="eastAsia"/>
        </w:rPr>
        <w:t>年上市公司年报报表公开披露的信息，以年报披露的各上市公司总经理薪酬为研究对象，将各上市</w:t>
      </w:r>
      <w:r w:rsidRPr="002B3B4C">
        <w:rPr>
          <w:rFonts w:ascii="Arial" w:eastAsia="楷体_GB2312" w:hAnsi="Arial" w:cs="楷体_GB2312" w:hint="eastAsia"/>
        </w:rPr>
        <w:t>公司</w:t>
      </w:r>
      <w:r w:rsidRPr="002B3B4C">
        <w:rPr>
          <w:rFonts w:ascii="Arial" w:eastAsia="楷体_GB2312" w:hAnsi="Arial" w:cs="Arial"/>
        </w:rPr>
        <w:t>CEO</w:t>
      </w:r>
      <w:r w:rsidRPr="002B3B4C">
        <w:rPr>
          <w:rFonts w:ascii="Arial" w:eastAsia="楷体_GB2312" w:hAnsi="Arial" w:cs="楷体_GB2312" w:hint="eastAsia"/>
        </w:rPr>
        <w:t>、总经理、行长职位年薪代表高管薪酬，对</w:t>
      </w:r>
      <w:r>
        <w:rPr>
          <w:rFonts w:ascii="Arial" w:eastAsia="楷体_GB2312" w:hAnsi="Arial" w:cs="楷体_GB2312" w:hint="eastAsia"/>
        </w:rPr>
        <w:t>江苏省</w:t>
      </w:r>
      <w:r w:rsidRPr="002B3B4C">
        <w:rPr>
          <w:rFonts w:ascii="Arial" w:eastAsia="楷体_GB2312" w:hAnsi="Arial" w:cs="楷体_GB2312" w:hint="eastAsia"/>
        </w:rPr>
        <w:t>上市公司高管薪酬水平状况进行研究。</w:t>
      </w:r>
    </w:p>
    <w:p w:rsidR="00DA0843" w:rsidRDefault="00DA0843" w:rsidP="008D4B5F">
      <w:pPr>
        <w:pStyle w:val="ListParagraph"/>
        <w:spacing w:beforeLines="50"/>
        <w:ind w:firstLineChars="0"/>
        <w:rPr>
          <w:rFonts w:ascii="Arial" w:eastAsia="楷体_GB2312" w:hAnsi="Arial" w:cs="Times New Roman"/>
        </w:rPr>
      </w:pPr>
      <w:r w:rsidRPr="00EB4756">
        <w:rPr>
          <w:rFonts w:ascii="Arial" w:eastAsia="楷体_GB2312" w:hAnsi="Arial" w:cs="楷体_GB2312" w:hint="eastAsia"/>
        </w:rPr>
        <w:t>在搜集信息过程中，发现有些公司的年报对薪酬并没有进行充分的公布，所以在分析时进行了一定的筛选：删除</w:t>
      </w:r>
      <w:r>
        <w:rPr>
          <w:rFonts w:ascii="Arial" w:eastAsia="楷体_GB2312" w:hAnsi="Arial" w:cs="楷体_GB2312" w:hint="eastAsia"/>
        </w:rPr>
        <w:t>了</w:t>
      </w:r>
      <w:r w:rsidRPr="00EB4756">
        <w:rPr>
          <w:rFonts w:ascii="Arial" w:eastAsia="楷体_GB2312" w:hAnsi="Arial" w:cs="楷体_GB2312" w:hint="eastAsia"/>
        </w:rPr>
        <w:t>总经理薪酬为</w:t>
      </w:r>
      <w:r w:rsidRPr="00EB4756">
        <w:rPr>
          <w:rFonts w:ascii="Arial" w:eastAsia="楷体_GB2312" w:hAnsi="Arial" w:cs="Arial"/>
        </w:rPr>
        <w:t>0</w:t>
      </w:r>
      <w:r w:rsidRPr="00EB4756">
        <w:rPr>
          <w:rFonts w:ascii="Arial" w:eastAsia="楷体_GB2312" w:hAnsi="Arial" w:cs="楷体_GB2312" w:hint="eastAsia"/>
        </w:rPr>
        <w:t>的公司，共</w:t>
      </w:r>
      <w:r>
        <w:rPr>
          <w:rFonts w:ascii="Arial" w:eastAsia="楷体_GB2312" w:hAnsi="Arial" w:cs="Arial"/>
        </w:rPr>
        <w:t>1</w:t>
      </w:r>
      <w:r w:rsidRPr="00EB4756">
        <w:rPr>
          <w:rFonts w:ascii="Arial" w:eastAsia="楷体_GB2312" w:hAnsi="Arial" w:cs="楷体_GB2312" w:hint="eastAsia"/>
        </w:rPr>
        <w:t>家</w:t>
      </w:r>
      <w:r>
        <w:rPr>
          <w:rFonts w:ascii="Arial" w:eastAsia="楷体_GB2312" w:hAnsi="Arial" w:cs="楷体_GB2312" w:hint="eastAsia"/>
        </w:rPr>
        <w:t>；</w:t>
      </w:r>
      <w:r w:rsidRPr="00EB4756">
        <w:rPr>
          <w:rFonts w:ascii="Arial" w:eastAsia="楷体_GB2312" w:hAnsi="Arial" w:cs="楷体_GB2312" w:hint="eastAsia"/>
        </w:rPr>
        <w:t>删除总经理薪酬未公布的公司，共</w:t>
      </w:r>
      <w:r>
        <w:rPr>
          <w:rFonts w:ascii="Arial" w:eastAsia="楷体_GB2312" w:hAnsi="Arial" w:cs="Arial"/>
        </w:rPr>
        <w:t>2</w:t>
      </w:r>
      <w:r w:rsidRPr="00EB4756">
        <w:rPr>
          <w:rFonts w:ascii="Arial" w:eastAsia="楷体_GB2312" w:hAnsi="Arial" w:cs="楷体_GB2312" w:hint="eastAsia"/>
        </w:rPr>
        <w:t>家</w:t>
      </w:r>
      <w:r>
        <w:rPr>
          <w:rFonts w:ascii="Arial" w:eastAsia="楷体_GB2312" w:hAnsi="Arial" w:cs="楷体_GB2312" w:hint="eastAsia"/>
        </w:rPr>
        <w:t>。最终我们以</w:t>
      </w:r>
      <w:r>
        <w:rPr>
          <w:rFonts w:ascii="Arial" w:eastAsia="楷体_GB2312" w:hAnsi="Arial" w:cs="Arial"/>
        </w:rPr>
        <w:t>2012</w:t>
      </w:r>
      <w:r>
        <w:rPr>
          <w:rFonts w:ascii="Arial" w:eastAsia="楷体_GB2312" w:hAnsi="Arial" w:cs="楷体_GB2312" w:hint="eastAsia"/>
        </w:rPr>
        <w:t>年江苏省</w:t>
      </w:r>
      <w:r>
        <w:rPr>
          <w:rFonts w:ascii="Arial" w:eastAsia="楷体_GB2312" w:hAnsi="Arial" w:cs="Arial"/>
        </w:rPr>
        <w:t>232</w:t>
      </w:r>
      <w:r>
        <w:rPr>
          <w:rFonts w:ascii="Arial" w:eastAsia="楷体_GB2312" w:hAnsi="Arial" w:cs="楷体_GB2312" w:hint="eastAsia"/>
        </w:rPr>
        <w:t>家</w:t>
      </w:r>
      <w:r w:rsidRPr="002B3B4C">
        <w:rPr>
          <w:rFonts w:ascii="Arial" w:eastAsia="楷体_GB2312" w:hAnsi="Arial" w:cs="楷体_GB2312" w:hint="eastAsia"/>
        </w:rPr>
        <w:t>上市公司为样本</w:t>
      </w:r>
      <w:r>
        <w:rPr>
          <w:rFonts w:ascii="Arial" w:eastAsia="楷体_GB2312" w:hAnsi="Arial" w:cs="楷体_GB2312" w:hint="eastAsia"/>
        </w:rPr>
        <w:t>，开展研究。发现江苏省上市公司高管薪酬存在以下激励特点：</w:t>
      </w:r>
    </w:p>
    <w:p w:rsidR="00DA0843" w:rsidRPr="00844342" w:rsidRDefault="00DA0843" w:rsidP="008D4B5F">
      <w:pPr>
        <w:spacing w:beforeLines="50"/>
        <w:outlineLvl w:val="1"/>
        <w:rPr>
          <w:rFonts w:ascii="Arial" w:eastAsia="楷体_GB2312" w:hAnsi="Arial" w:cs="Times New Roman"/>
          <w:b/>
          <w:bCs/>
          <w:sz w:val="22"/>
          <w:szCs w:val="22"/>
        </w:rPr>
      </w:pPr>
      <w:r>
        <w:rPr>
          <w:rFonts w:ascii="Arial" w:eastAsia="楷体_GB2312" w:hAnsi="Arial" w:cs="楷体_GB2312" w:hint="eastAsia"/>
          <w:b/>
          <w:bCs/>
          <w:sz w:val="22"/>
          <w:szCs w:val="22"/>
        </w:rPr>
        <w:t>总体水平：江苏</w:t>
      </w:r>
      <w:r w:rsidRPr="00844342">
        <w:rPr>
          <w:rFonts w:ascii="Arial" w:eastAsia="楷体_GB2312" w:hAnsi="Arial" w:cs="楷体_GB2312" w:hint="eastAsia"/>
          <w:b/>
          <w:bCs/>
          <w:sz w:val="22"/>
          <w:szCs w:val="22"/>
        </w:rPr>
        <w:t>上市公司高管薪酬平均水平逐年上升</w:t>
      </w:r>
      <w:bookmarkEnd w:id="2"/>
      <w:r w:rsidRPr="00844342">
        <w:rPr>
          <w:rFonts w:ascii="Arial" w:eastAsia="楷体_GB2312" w:hAnsi="Arial" w:cs="楷体_GB2312" w:hint="eastAsia"/>
          <w:b/>
          <w:bCs/>
          <w:sz w:val="22"/>
          <w:szCs w:val="22"/>
        </w:rPr>
        <w:t>，但仍低于全国平均水平</w:t>
      </w:r>
    </w:p>
    <w:p w:rsidR="00DA0843" w:rsidRPr="007251E1" w:rsidRDefault="00DA0843" w:rsidP="008D4B5F">
      <w:pPr>
        <w:pStyle w:val="ListParagraph"/>
        <w:spacing w:beforeLines="50"/>
        <w:ind w:firstLineChars="0"/>
        <w:rPr>
          <w:rFonts w:ascii="Arial" w:eastAsia="楷体_GB2312" w:hAnsi="Arial" w:cs="Times New Roman"/>
        </w:rPr>
      </w:pPr>
      <w:r>
        <w:rPr>
          <w:rFonts w:ascii="Arial" w:eastAsia="楷体_GB2312" w:hAnsi="Arial" w:cs="楷体_GB2312" w:hint="eastAsia"/>
        </w:rPr>
        <w:t>联合咨询中心分析发现，</w:t>
      </w:r>
      <w:r>
        <w:rPr>
          <w:rFonts w:ascii="Arial" w:eastAsia="楷体_GB2312" w:hAnsi="Arial" w:cs="Arial"/>
        </w:rPr>
        <w:t>2008</w:t>
      </w:r>
      <w:r>
        <w:rPr>
          <w:rFonts w:ascii="Arial" w:eastAsia="楷体_GB2312" w:hAnsi="Arial" w:cs="楷体_GB2312" w:hint="eastAsia"/>
        </w:rPr>
        <w:t>至</w:t>
      </w:r>
      <w:r>
        <w:rPr>
          <w:rFonts w:ascii="Arial" w:eastAsia="楷体_GB2312" w:hAnsi="Arial" w:cs="Arial"/>
        </w:rPr>
        <w:t>2012</w:t>
      </w:r>
      <w:r>
        <w:rPr>
          <w:rFonts w:ascii="Arial" w:eastAsia="楷体_GB2312" w:hAnsi="Arial" w:cs="楷体_GB2312" w:hint="eastAsia"/>
        </w:rPr>
        <w:t>年江苏省上市公司高管薪酬水平呈逐年上涨趋势。从平均值</w:t>
      </w:r>
      <w:r>
        <w:rPr>
          <w:rStyle w:val="FootnoteReference"/>
          <w:rFonts w:ascii="Arial" w:eastAsia="楷体_GB2312" w:hAnsi="Arial" w:cs="Times New Roman"/>
        </w:rPr>
        <w:footnoteReference w:id="3"/>
      </w:r>
      <w:r>
        <w:rPr>
          <w:rFonts w:ascii="Arial" w:eastAsia="楷体_GB2312" w:hAnsi="Arial" w:cs="楷体_GB2312" w:hint="eastAsia"/>
        </w:rPr>
        <w:t>来看，五年间</w:t>
      </w:r>
      <w:r w:rsidRPr="007251E1">
        <w:rPr>
          <w:rFonts w:ascii="Arial" w:eastAsia="楷体_GB2312" w:hAnsi="Arial" w:cs="楷体_GB2312" w:hint="eastAsia"/>
        </w:rPr>
        <w:t>江苏省上市公司高管年薪平均值分别为</w:t>
      </w:r>
      <w:r w:rsidRPr="007251E1">
        <w:rPr>
          <w:rFonts w:ascii="Arial" w:eastAsia="楷体_GB2312" w:hAnsi="Arial" w:cs="Arial"/>
        </w:rPr>
        <w:t>37.33</w:t>
      </w:r>
      <w:r w:rsidRPr="007251E1">
        <w:rPr>
          <w:rFonts w:ascii="Arial" w:eastAsia="楷体_GB2312" w:hAnsi="Arial" w:cs="楷体_GB2312" w:hint="eastAsia"/>
        </w:rPr>
        <w:t>万元、</w:t>
      </w:r>
      <w:r w:rsidRPr="007251E1">
        <w:rPr>
          <w:rFonts w:ascii="Arial" w:eastAsia="楷体_GB2312" w:hAnsi="Arial" w:cs="Arial"/>
        </w:rPr>
        <w:t>40.63</w:t>
      </w:r>
      <w:r w:rsidRPr="007251E1">
        <w:rPr>
          <w:rFonts w:ascii="Arial" w:eastAsia="楷体_GB2312" w:hAnsi="Arial" w:cs="楷体_GB2312" w:hint="eastAsia"/>
        </w:rPr>
        <w:t>万元、</w:t>
      </w:r>
      <w:r w:rsidRPr="00047506">
        <w:rPr>
          <w:rFonts w:ascii="Arial" w:eastAsia="楷体_GB2312" w:hAnsi="Arial" w:cs="Arial"/>
        </w:rPr>
        <w:t>50.45</w:t>
      </w:r>
      <w:r w:rsidRPr="00047506">
        <w:rPr>
          <w:rFonts w:ascii="Arial" w:eastAsia="楷体_GB2312" w:hAnsi="Arial" w:cs="楷体_GB2312" w:hint="eastAsia"/>
        </w:rPr>
        <w:t>万元</w:t>
      </w:r>
      <w:r w:rsidRPr="002E2E3C">
        <w:rPr>
          <w:rFonts w:ascii="Arial" w:eastAsia="楷体_GB2312" w:hAnsi="Arial" w:cs="楷体_GB2312" w:hint="eastAsia"/>
          <w:color w:val="FF0000"/>
        </w:rPr>
        <w:t>、</w:t>
      </w:r>
      <w:r w:rsidRPr="007251E1">
        <w:rPr>
          <w:rFonts w:ascii="Arial" w:eastAsia="楷体_GB2312" w:hAnsi="Arial" w:cs="Arial"/>
        </w:rPr>
        <w:t>55.24</w:t>
      </w:r>
      <w:r w:rsidRPr="007251E1">
        <w:rPr>
          <w:rFonts w:ascii="Arial" w:eastAsia="楷体_GB2312" w:hAnsi="Arial" w:cs="楷体_GB2312" w:hint="eastAsia"/>
        </w:rPr>
        <w:t>万元</w:t>
      </w:r>
      <w:r>
        <w:rPr>
          <w:rFonts w:ascii="Arial" w:eastAsia="楷体_GB2312" w:hAnsi="Arial" w:cs="楷体_GB2312" w:hint="eastAsia"/>
        </w:rPr>
        <w:t>以及</w:t>
      </w:r>
      <w:r>
        <w:rPr>
          <w:rFonts w:ascii="Arial" w:eastAsia="楷体_GB2312" w:hAnsi="Arial" w:cs="Arial"/>
        </w:rPr>
        <w:t>57.69</w:t>
      </w:r>
      <w:r>
        <w:rPr>
          <w:rFonts w:ascii="Arial" w:eastAsia="楷体_GB2312" w:hAnsi="Arial" w:cs="楷体_GB2312" w:hint="eastAsia"/>
        </w:rPr>
        <w:t>万元</w:t>
      </w:r>
      <w:r w:rsidRPr="007251E1">
        <w:rPr>
          <w:rFonts w:ascii="Arial" w:eastAsia="楷体_GB2312" w:hAnsi="Arial" w:cs="楷体_GB2312" w:hint="eastAsia"/>
        </w:rPr>
        <w:t>，其中</w:t>
      </w:r>
      <w:r w:rsidRPr="007251E1">
        <w:rPr>
          <w:rFonts w:ascii="Arial" w:eastAsia="楷体_GB2312" w:hAnsi="Arial" w:cs="Arial"/>
        </w:rPr>
        <w:t>2010</w:t>
      </w:r>
      <w:r w:rsidRPr="007251E1">
        <w:rPr>
          <w:rFonts w:ascii="Arial" w:eastAsia="楷体_GB2312" w:hAnsi="Arial" w:cs="楷体_GB2312" w:hint="eastAsia"/>
        </w:rPr>
        <w:t>年、</w:t>
      </w:r>
      <w:r w:rsidRPr="007251E1">
        <w:rPr>
          <w:rFonts w:ascii="Arial" w:eastAsia="楷体_GB2312" w:hAnsi="Arial" w:cs="Arial"/>
        </w:rPr>
        <w:t>2011</w:t>
      </w:r>
      <w:r w:rsidRPr="007251E1">
        <w:rPr>
          <w:rFonts w:ascii="Arial" w:eastAsia="楷体_GB2312" w:hAnsi="Arial" w:cs="楷体_GB2312" w:hint="eastAsia"/>
        </w:rPr>
        <w:t>年</w:t>
      </w:r>
      <w:r>
        <w:rPr>
          <w:rFonts w:ascii="Arial" w:eastAsia="楷体_GB2312" w:hAnsi="Arial" w:cs="楷体_GB2312" w:hint="eastAsia"/>
        </w:rPr>
        <w:t>和</w:t>
      </w:r>
      <w:r>
        <w:rPr>
          <w:rFonts w:ascii="Arial" w:eastAsia="楷体_GB2312" w:hAnsi="Arial" w:cs="Arial"/>
        </w:rPr>
        <w:t>2012</w:t>
      </w:r>
      <w:r>
        <w:rPr>
          <w:rFonts w:ascii="Arial" w:eastAsia="楷体_GB2312" w:hAnsi="Arial" w:cs="楷体_GB2312" w:hint="eastAsia"/>
        </w:rPr>
        <w:t>年</w:t>
      </w:r>
      <w:r w:rsidRPr="007251E1">
        <w:rPr>
          <w:rFonts w:ascii="Arial" w:eastAsia="楷体_GB2312" w:hAnsi="Arial" w:cs="楷体_GB2312" w:hint="eastAsia"/>
        </w:rPr>
        <w:t>的平均值分别较上年增长了</w:t>
      </w:r>
      <w:r w:rsidRPr="007251E1">
        <w:rPr>
          <w:rFonts w:ascii="Arial" w:eastAsia="楷体_GB2312" w:hAnsi="Arial" w:cs="Arial"/>
        </w:rPr>
        <w:t>24.16%</w:t>
      </w:r>
      <w:r>
        <w:rPr>
          <w:rFonts w:ascii="Arial" w:eastAsia="楷体_GB2312" w:hAnsi="Arial" w:cs="楷体_GB2312" w:hint="eastAsia"/>
        </w:rPr>
        <w:t>、</w:t>
      </w:r>
      <w:r w:rsidRPr="007251E1">
        <w:rPr>
          <w:rFonts w:ascii="Arial" w:eastAsia="楷体_GB2312" w:hAnsi="Arial" w:cs="Arial"/>
        </w:rPr>
        <w:t>9.47%</w:t>
      </w:r>
      <w:r>
        <w:rPr>
          <w:rFonts w:ascii="Arial" w:eastAsia="楷体_GB2312" w:hAnsi="Arial" w:cs="楷体_GB2312" w:hint="eastAsia"/>
        </w:rPr>
        <w:t>和</w:t>
      </w:r>
      <w:r>
        <w:rPr>
          <w:rFonts w:ascii="Arial" w:eastAsia="楷体_GB2312" w:hAnsi="Arial" w:cs="Arial"/>
        </w:rPr>
        <w:t>4.44%</w:t>
      </w:r>
      <w:r>
        <w:rPr>
          <w:rFonts w:ascii="Arial" w:eastAsia="楷体_GB2312" w:hAnsi="Arial" w:cs="楷体_GB2312" w:hint="eastAsia"/>
        </w:rPr>
        <w:t>，增长率有所下降</w:t>
      </w:r>
      <w:r w:rsidRPr="007251E1">
        <w:rPr>
          <w:rFonts w:ascii="Arial" w:eastAsia="楷体_GB2312" w:hAnsi="Arial" w:cs="楷体_GB2312" w:hint="eastAsia"/>
        </w:rPr>
        <w:t>。</w:t>
      </w:r>
    </w:p>
    <w:p w:rsidR="00DA0843" w:rsidRPr="00844342" w:rsidRDefault="00DA0843" w:rsidP="00370B4F">
      <w:pPr>
        <w:spacing w:beforeLines="50"/>
        <w:ind w:firstLineChars="200" w:firstLine="31680"/>
        <w:jc w:val="center"/>
        <w:rPr>
          <w:rFonts w:ascii="Arial" w:eastAsia="楷体_GB2312" w:hAnsi="Arial" w:cs="Times New Roman"/>
          <w:b/>
          <w:bCs/>
        </w:rPr>
      </w:pPr>
      <w:r>
        <w:rPr>
          <w:rFonts w:ascii="Arial" w:eastAsia="楷体_GB2312" w:hAnsi="Arial" w:cs="Arial"/>
          <w:b/>
          <w:bCs/>
        </w:rPr>
        <w:t>2008-2012</w:t>
      </w:r>
      <w:r>
        <w:rPr>
          <w:rFonts w:ascii="Arial" w:eastAsia="楷体_GB2312" w:hAnsi="Arial" w:cs="楷体_GB2312" w:hint="eastAsia"/>
          <w:b/>
          <w:bCs/>
        </w:rPr>
        <w:t>年</w:t>
      </w:r>
      <w:r w:rsidRPr="00844342">
        <w:rPr>
          <w:rFonts w:ascii="Arial" w:eastAsia="楷体_GB2312" w:hAnsi="Arial" w:cs="楷体_GB2312" w:hint="eastAsia"/>
          <w:b/>
          <w:bCs/>
        </w:rPr>
        <w:t>江苏地区与全国高管薪酬平均值对比</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376"/>
        <w:gridCol w:w="1229"/>
        <w:gridCol w:w="1229"/>
        <w:gridCol w:w="1229"/>
        <w:gridCol w:w="1229"/>
        <w:gridCol w:w="1230"/>
      </w:tblGrid>
      <w:tr w:rsidR="00DA0843" w:rsidRPr="00844342">
        <w:trPr>
          <w:trHeight w:val="661"/>
          <w:jc w:val="center"/>
        </w:trPr>
        <w:tc>
          <w:tcPr>
            <w:tcW w:w="2376" w:type="dxa"/>
            <w:tcBorders>
              <w:tl2br w:val="single" w:sz="4" w:space="0" w:color="auto"/>
            </w:tcBorders>
            <w:vAlign w:val="center"/>
          </w:tcPr>
          <w:p w:rsidR="00DA0843" w:rsidRPr="002F5AE3" w:rsidRDefault="00DA0843" w:rsidP="002F5AE3">
            <w:pPr>
              <w:jc w:val="center"/>
              <w:rPr>
                <w:rFonts w:ascii="Arial" w:eastAsia="楷体_GB2312" w:hAnsi="Arial" w:cs="Times New Roman"/>
              </w:rPr>
            </w:pPr>
            <w:r w:rsidRPr="002F5AE3">
              <w:rPr>
                <w:rFonts w:ascii="Arial" w:eastAsia="楷体_GB2312" w:hAnsi="Arial" w:cs="楷体_GB2312" w:hint="eastAsia"/>
              </w:rPr>
              <w:t>年份</w:t>
            </w:r>
          </w:p>
          <w:p w:rsidR="00DA0843" w:rsidRPr="002F5AE3" w:rsidRDefault="00DA0843" w:rsidP="00A83D19">
            <w:pPr>
              <w:rPr>
                <w:rFonts w:ascii="Arial" w:eastAsia="楷体_GB2312" w:hAnsi="Arial" w:cs="Times New Roman"/>
              </w:rPr>
            </w:pPr>
            <w:r w:rsidRPr="002F5AE3">
              <w:rPr>
                <w:rFonts w:ascii="Arial" w:eastAsia="楷体_GB2312" w:hAnsi="Arial" w:cs="楷体_GB2312" w:hint="eastAsia"/>
              </w:rPr>
              <w:t>高管薪酬（万元）</w:t>
            </w:r>
          </w:p>
        </w:tc>
        <w:tc>
          <w:tcPr>
            <w:tcW w:w="1229" w:type="dxa"/>
            <w:vAlign w:val="center"/>
          </w:tcPr>
          <w:p w:rsidR="00DA0843" w:rsidRPr="002F5AE3" w:rsidRDefault="00DA0843" w:rsidP="002F5AE3">
            <w:pPr>
              <w:jc w:val="center"/>
              <w:rPr>
                <w:rFonts w:ascii="Arial" w:eastAsia="楷体_GB2312" w:hAnsi="Arial" w:cs="Times New Roman"/>
              </w:rPr>
            </w:pPr>
            <w:r w:rsidRPr="002F5AE3">
              <w:rPr>
                <w:rFonts w:ascii="Arial" w:eastAsia="楷体_GB2312" w:hAnsi="Arial" w:cs="Arial"/>
              </w:rPr>
              <w:t>2008</w:t>
            </w:r>
            <w:r w:rsidRPr="002F5AE3">
              <w:rPr>
                <w:rFonts w:ascii="Arial" w:eastAsia="楷体_GB2312" w:hAnsi="Arial" w:cs="楷体_GB2312" w:hint="eastAsia"/>
              </w:rPr>
              <w:t>年</w:t>
            </w:r>
          </w:p>
        </w:tc>
        <w:tc>
          <w:tcPr>
            <w:tcW w:w="1229" w:type="dxa"/>
            <w:vAlign w:val="center"/>
          </w:tcPr>
          <w:p w:rsidR="00DA0843" w:rsidRPr="002F5AE3" w:rsidRDefault="00DA0843" w:rsidP="002F5AE3">
            <w:pPr>
              <w:jc w:val="center"/>
              <w:rPr>
                <w:rFonts w:ascii="Arial" w:eastAsia="楷体_GB2312" w:hAnsi="Arial" w:cs="Times New Roman"/>
              </w:rPr>
            </w:pPr>
            <w:r w:rsidRPr="002F5AE3">
              <w:rPr>
                <w:rFonts w:ascii="Arial" w:eastAsia="楷体_GB2312" w:hAnsi="Arial" w:cs="Arial"/>
              </w:rPr>
              <w:t>2009</w:t>
            </w:r>
            <w:r w:rsidRPr="002F5AE3">
              <w:rPr>
                <w:rFonts w:ascii="Arial" w:eastAsia="楷体_GB2312" w:hAnsi="Arial" w:cs="楷体_GB2312" w:hint="eastAsia"/>
              </w:rPr>
              <w:t>年</w:t>
            </w:r>
          </w:p>
        </w:tc>
        <w:tc>
          <w:tcPr>
            <w:tcW w:w="1229" w:type="dxa"/>
            <w:vAlign w:val="center"/>
          </w:tcPr>
          <w:p w:rsidR="00DA0843" w:rsidRPr="002F5AE3" w:rsidRDefault="00DA0843" w:rsidP="002F5AE3">
            <w:pPr>
              <w:jc w:val="center"/>
              <w:rPr>
                <w:rFonts w:ascii="Arial" w:eastAsia="楷体_GB2312" w:hAnsi="Arial" w:cs="Times New Roman"/>
              </w:rPr>
            </w:pPr>
            <w:r w:rsidRPr="002F5AE3">
              <w:rPr>
                <w:rFonts w:ascii="Arial" w:eastAsia="楷体_GB2312" w:hAnsi="Arial" w:cs="Arial"/>
              </w:rPr>
              <w:t>2010</w:t>
            </w:r>
            <w:r w:rsidRPr="002F5AE3">
              <w:rPr>
                <w:rFonts w:ascii="Arial" w:eastAsia="楷体_GB2312" w:hAnsi="Arial" w:cs="楷体_GB2312" w:hint="eastAsia"/>
              </w:rPr>
              <w:t>年</w:t>
            </w:r>
          </w:p>
        </w:tc>
        <w:tc>
          <w:tcPr>
            <w:tcW w:w="1229" w:type="dxa"/>
            <w:vAlign w:val="center"/>
          </w:tcPr>
          <w:p w:rsidR="00DA0843" w:rsidRPr="002F5AE3" w:rsidRDefault="00DA0843" w:rsidP="002F5AE3">
            <w:pPr>
              <w:jc w:val="center"/>
              <w:rPr>
                <w:rFonts w:ascii="Arial" w:eastAsia="楷体_GB2312" w:hAnsi="Arial" w:cs="Times New Roman"/>
              </w:rPr>
            </w:pPr>
            <w:r w:rsidRPr="002F5AE3">
              <w:rPr>
                <w:rFonts w:ascii="Arial" w:eastAsia="楷体_GB2312" w:hAnsi="Arial" w:cs="Arial"/>
              </w:rPr>
              <w:t>2011</w:t>
            </w:r>
            <w:r w:rsidRPr="002F5AE3">
              <w:rPr>
                <w:rFonts w:ascii="Arial" w:eastAsia="楷体_GB2312" w:hAnsi="Arial" w:cs="楷体_GB2312" w:hint="eastAsia"/>
              </w:rPr>
              <w:t>年</w:t>
            </w:r>
          </w:p>
        </w:tc>
        <w:tc>
          <w:tcPr>
            <w:tcW w:w="1230" w:type="dxa"/>
            <w:vAlign w:val="center"/>
          </w:tcPr>
          <w:p w:rsidR="00DA0843" w:rsidRPr="002F5AE3" w:rsidRDefault="00DA0843" w:rsidP="002F5AE3">
            <w:pPr>
              <w:jc w:val="center"/>
              <w:rPr>
                <w:rFonts w:ascii="Arial" w:eastAsia="楷体_GB2312" w:hAnsi="Arial" w:cs="Times New Roman"/>
              </w:rPr>
            </w:pPr>
            <w:r w:rsidRPr="002F5AE3">
              <w:rPr>
                <w:rFonts w:ascii="Arial" w:eastAsia="楷体_GB2312" w:hAnsi="Arial" w:cs="Arial"/>
              </w:rPr>
              <w:t>2012</w:t>
            </w:r>
            <w:r w:rsidRPr="002F5AE3">
              <w:rPr>
                <w:rFonts w:ascii="Arial" w:eastAsia="楷体_GB2312" w:hAnsi="Arial" w:cs="楷体_GB2312" w:hint="eastAsia"/>
              </w:rPr>
              <w:t>年</w:t>
            </w:r>
          </w:p>
        </w:tc>
      </w:tr>
      <w:tr w:rsidR="00DA0843" w:rsidRPr="00844342">
        <w:trPr>
          <w:jc w:val="center"/>
        </w:trPr>
        <w:tc>
          <w:tcPr>
            <w:tcW w:w="2376" w:type="dxa"/>
            <w:vAlign w:val="center"/>
          </w:tcPr>
          <w:p w:rsidR="00DA0843" w:rsidRPr="002F5AE3" w:rsidRDefault="00DA0843" w:rsidP="008D4B5F">
            <w:pPr>
              <w:spacing w:beforeLines="50"/>
              <w:jc w:val="center"/>
              <w:rPr>
                <w:rFonts w:ascii="Arial" w:eastAsia="楷体_GB2312" w:hAnsi="Arial" w:cs="Times New Roman"/>
              </w:rPr>
            </w:pPr>
            <w:r w:rsidRPr="002F5AE3">
              <w:rPr>
                <w:rFonts w:ascii="Arial" w:eastAsia="楷体_GB2312" w:hAnsi="Arial" w:cs="楷体_GB2312" w:hint="eastAsia"/>
              </w:rPr>
              <w:t>江苏省高管薪酬平均值</w:t>
            </w:r>
          </w:p>
        </w:tc>
        <w:tc>
          <w:tcPr>
            <w:tcW w:w="1229" w:type="dxa"/>
            <w:vAlign w:val="center"/>
          </w:tcPr>
          <w:p w:rsidR="00DA0843" w:rsidRPr="002F5AE3" w:rsidRDefault="00DA0843" w:rsidP="008D4B5F">
            <w:pPr>
              <w:spacing w:beforeLines="50"/>
              <w:jc w:val="center"/>
              <w:rPr>
                <w:rFonts w:ascii="Arial" w:eastAsia="楷体_GB2312" w:hAnsi="Arial" w:cs="Arial"/>
              </w:rPr>
            </w:pPr>
            <w:r w:rsidRPr="002F5AE3">
              <w:rPr>
                <w:rFonts w:ascii="Arial" w:eastAsia="楷体_GB2312" w:hAnsi="Arial" w:cs="Arial"/>
              </w:rPr>
              <w:t>37.33</w:t>
            </w:r>
          </w:p>
        </w:tc>
        <w:tc>
          <w:tcPr>
            <w:tcW w:w="1229" w:type="dxa"/>
            <w:vAlign w:val="center"/>
          </w:tcPr>
          <w:p w:rsidR="00DA0843" w:rsidRPr="002F5AE3" w:rsidRDefault="00DA0843" w:rsidP="008D4B5F">
            <w:pPr>
              <w:spacing w:beforeLines="50"/>
              <w:jc w:val="center"/>
              <w:rPr>
                <w:rFonts w:ascii="Arial" w:eastAsia="楷体_GB2312" w:hAnsi="Arial" w:cs="Arial"/>
              </w:rPr>
            </w:pPr>
            <w:r w:rsidRPr="002F5AE3">
              <w:rPr>
                <w:rFonts w:ascii="Arial" w:eastAsia="楷体_GB2312" w:hAnsi="Arial" w:cs="Arial"/>
              </w:rPr>
              <w:t>40.63</w:t>
            </w:r>
          </w:p>
        </w:tc>
        <w:tc>
          <w:tcPr>
            <w:tcW w:w="1229" w:type="dxa"/>
            <w:vAlign w:val="center"/>
          </w:tcPr>
          <w:p w:rsidR="00DA0843" w:rsidRPr="002F5AE3" w:rsidRDefault="00DA0843" w:rsidP="008D4B5F">
            <w:pPr>
              <w:spacing w:beforeLines="50"/>
              <w:jc w:val="center"/>
              <w:rPr>
                <w:rFonts w:ascii="Arial" w:eastAsia="楷体_GB2312" w:hAnsi="Arial" w:cs="Arial"/>
              </w:rPr>
            </w:pPr>
            <w:r w:rsidRPr="002F5AE3">
              <w:rPr>
                <w:rFonts w:ascii="Arial" w:eastAsia="楷体_GB2312" w:hAnsi="Arial" w:cs="Arial"/>
              </w:rPr>
              <w:t>50.45</w:t>
            </w:r>
          </w:p>
        </w:tc>
        <w:tc>
          <w:tcPr>
            <w:tcW w:w="1229" w:type="dxa"/>
            <w:vAlign w:val="center"/>
          </w:tcPr>
          <w:p w:rsidR="00DA0843" w:rsidRPr="002F5AE3" w:rsidRDefault="00DA0843" w:rsidP="008D4B5F">
            <w:pPr>
              <w:spacing w:beforeLines="50"/>
              <w:jc w:val="center"/>
              <w:rPr>
                <w:rFonts w:ascii="Arial" w:eastAsia="楷体_GB2312" w:hAnsi="Arial" w:cs="Arial"/>
              </w:rPr>
            </w:pPr>
            <w:r w:rsidRPr="002F5AE3">
              <w:rPr>
                <w:rFonts w:ascii="Arial" w:eastAsia="楷体_GB2312" w:hAnsi="Arial" w:cs="Arial"/>
              </w:rPr>
              <w:t>55.24</w:t>
            </w:r>
          </w:p>
        </w:tc>
        <w:tc>
          <w:tcPr>
            <w:tcW w:w="1230" w:type="dxa"/>
            <w:vAlign w:val="center"/>
          </w:tcPr>
          <w:p w:rsidR="00DA0843" w:rsidRPr="002F5AE3" w:rsidRDefault="00DA0843" w:rsidP="008D4B5F">
            <w:pPr>
              <w:spacing w:beforeLines="50"/>
              <w:jc w:val="center"/>
              <w:rPr>
                <w:rFonts w:ascii="Arial" w:eastAsia="楷体_GB2312" w:hAnsi="Arial" w:cs="Arial"/>
              </w:rPr>
            </w:pPr>
            <w:r w:rsidRPr="002F5AE3">
              <w:rPr>
                <w:rFonts w:ascii="Arial" w:eastAsia="楷体_GB2312" w:hAnsi="Arial" w:cs="Arial"/>
              </w:rPr>
              <w:t>57.69</w:t>
            </w:r>
          </w:p>
        </w:tc>
      </w:tr>
      <w:tr w:rsidR="00DA0843" w:rsidRPr="00844342">
        <w:trPr>
          <w:jc w:val="center"/>
        </w:trPr>
        <w:tc>
          <w:tcPr>
            <w:tcW w:w="2376" w:type="dxa"/>
            <w:vAlign w:val="center"/>
          </w:tcPr>
          <w:p w:rsidR="00DA0843" w:rsidRPr="002F5AE3" w:rsidRDefault="00DA0843" w:rsidP="008D4B5F">
            <w:pPr>
              <w:spacing w:beforeLines="50"/>
              <w:jc w:val="center"/>
              <w:rPr>
                <w:rFonts w:ascii="Arial" w:eastAsia="楷体_GB2312" w:hAnsi="Arial" w:cs="Times New Roman"/>
              </w:rPr>
            </w:pPr>
            <w:r w:rsidRPr="002F5AE3">
              <w:rPr>
                <w:rFonts w:ascii="Arial" w:eastAsia="楷体_GB2312" w:hAnsi="Arial" w:cs="楷体_GB2312" w:hint="eastAsia"/>
              </w:rPr>
              <w:t>全国高管薪酬平均值</w:t>
            </w:r>
          </w:p>
        </w:tc>
        <w:tc>
          <w:tcPr>
            <w:tcW w:w="1229" w:type="dxa"/>
            <w:vAlign w:val="center"/>
          </w:tcPr>
          <w:p w:rsidR="00DA0843" w:rsidRPr="002F5AE3" w:rsidRDefault="00DA0843" w:rsidP="008D4B5F">
            <w:pPr>
              <w:spacing w:beforeLines="50"/>
              <w:jc w:val="center"/>
              <w:rPr>
                <w:rFonts w:ascii="Arial" w:eastAsia="楷体_GB2312" w:hAnsi="Arial" w:cs="Arial"/>
              </w:rPr>
            </w:pPr>
            <w:r w:rsidRPr="002F5AE3">
              <w:rPr>
                <w:rFonts w:ascii="Arial" w:eastAsia="楷体_GB2312" w:hAnsi="Arial" w:cs="Arial"/>
              </w:rPr>
              <w:t>44.75</w:t>
            </w:r>
          </w:p>
        </w:tc>
        <w:tc>
          <w:tcPr>
            <w:tcW w:w="1229" w:type="dxa"/>
            <w:vAlign w:val="center"/>
          </w:tcPr>
          <w:p w:rsidR="00DA0843" w:rsidRPr="002F5AE3" w:rsidRDefault="00DA0843" w:rsidP="008D4B5F">
            <w:pPr>
              <w:spacing w:beforeLines="50"/>
              <w:jc w:val="center"/>
              <w:rPr>
                <w:rFonts w:ascii="Arial" w:eastAsia="楷体_GB2312" w:hAnsi="Arial" w:cs="Arial"/>
              </w:rPr>
            </w:pPr>
            <w:r w:rsidRPr="002F5AE3">
              <w:rPr>
                <w:rFonts w:ascii="Arial" w:eastAsia="楷体_GB2312" w:hAnsi="Arial" w:cs="Arial"/>
              </w:rPr>
              <w:t>46.30</w:t>
            </w:r>
          </w:p>
        </w:tc>
        <w:tc>
          <w:tcPr>
            <w:tcW w:w="1229" w:type="dxa"/>
            <w:vAlign w:val="center"/>
          </w:tcPr>
          <w:p w:rsidR="00DA0843" w:rsidRPr="002F5AE3" w:rsidRDefault="00DA0843" w:rsidP="008D4B5F">
            <w:pPr>
              <w:spacing w:beforeLines="50"/>
              <w:jc w:val="center"/>
              <w:rPr>
                <w:rFonts w:ascii="Arial" w:eastAsia="楷体_GB2312" w:hAnsi="Arial" w:cs="Arial"/>
              </w:rPr>
            </w:pPr>
            <w:r w:rsidRPr="002F5AE3">
              <w:rPr>
                <w:rFonts w:ascii="Arial" w:eastAsia="楷体_GB2312" w:hAnsi="Arial" w:cs="Arial"/>
              </w:rPr>
              <w:t>59.57</w:t>
            </w:r>
          </w:p>
        </w:tc>
        <w:tc>
          <w:tcPr>
            <w:tcW w:w="1229" w:type="dxa"/>
            <w:vAlign w:val="center"/>
          </w:tcPr>
          <w:p w:rsidR="00DA0843" w:rsidRPr="002F5AE3" w:rsidRDefault="00DA0843" w:rsidP="008D4B5F">
            <w:pPr>
              <w:spacing w:beforeLines="50"/>
              <w:jc w:val="center"/>
              <w:rPr>
                <w:rFonts w:ascii="Arial" w:eastAsia="楷体_GB2312" w:hAnsi="Arial" w:cs="Arial"/>
              </w:rPr>
            </w:pPr>
            <w:r w:rsidRPr="002F5AE3">
              <w:rPr>
                <w:rFonts w:ascii="Arial" w:eastAsia="楷体_GB2312" w:hAnsi="Arial" w:cs="Arial"/>
              </w:rPr>
              <w:t>62.38</w:t>
            </w:r>
          </w:p>
        </w:tc>
        <w:tc>
          <w:tcPr>
            <w:tcW w:w="1230" w:type="dxa"/>
            <w:vAlign w:val="center"/>
          </w:tcPr>
          <w:p w:rsidR="00DA0843" w:rsidRPr="002F5AE3" w:rsidRDefault="00DA0843" w:rsidP="008D4B5F">
            <w:pPr>
              <w:spacing w:beforeLines="50"/>
              <w:jc w:val="center"/>
              <w:rPr>
                <w:rFonts w:ascii="Arial" w:eastAsia="楷体_GB2312" w:hAnsi="Arial" w:cs="Arial"/>
              </w:rPr>
            </w:pPr>
            <w:r w:rsidRPr="002F5AE3">
              <w:rPr>
                <w:rFonts w:ascii="Arial" w:eastAsia="楷体_GB2312" w:hAnsi="Arial" w:cs="Arial"/>
              </w:rPr>
              <w:t>64.26</w:t>
            </w:r>
          </w:p>
        </w:tc>
      </w:tr>
    </w:tbl>
    <w:p w:rsidR="00DA0843" w:rsidRPr="00844342" w:rsidRDefault="00DA0843" w:rsidP="00DA0843">
      <w:pPr>
        <w:spacing w:beforeLines="50"/>
        <w:ind w:firstLineChars="200" w:firstLine="31680"/>
        <w:rPr>
          <w:rFonts w:ascii="Arial" w:eastAsia="楷体_GB2312" w:hAnsi="Arial" w:cs="Times New Roman"/>
        </w:rPr>
      </w:pPr>
      <w:r w:rsidRPr="00844342">
        <w:rPr>
          <w:rFonts w:ascii="Arial" w:eastAsia="楷体_GB2312" w:hAnsi="Arial" w:cs="楷体_GB2312" w:hint="eastAsia"/>
        </w:rPr>
        <w:t>同全国相比，尽管江苏省地区经济在全国位居前列，但江苏地区上市公司高管薪酬水平低于全国平均水平。这与整</w:t>
      </w:r>
      <w:r>
        <w:rPr>
          <w:rFonts w:ascii="Arial" w:eastAsia="楷体_GB2312" w:hAnsi="Arial" w:cs="楷体_GB2312" w:hint="eastAsia"/>
        </w:rPr>
        <w:t>体经济发展速度不相适应，人力资本的价值体现不足，长此以往可能影响企业的治理和发展</w:t>
      </w:r>
      <w:r w:rsidRPr="00844342">
        <w:rPr>
          <w:rFonts w:ascii="Arial" w:eastAsia="楷体_GB2312" w:hAnsi="Arial" w:cs="楷体_GB2312" w:hint="eastAsia"/>
        </w:rPr>
        <w:t>。</w:t>
      </w:r>
    </w:p>
    <w:p w:rsidR="00DA0843" w:rsidRPr="00EF298D" w:rsidRDefault="00DA0843" w:rsidP="008D4B5F">
      <w:pPr>
        <w:spacing w:beforeLines="50"/>
        <w:outlineLvl w:val="1"/>
        <w:rPr>
          <w:rFonts w:ascii="Arial" w:eastAsia="楷体_GB2312" w:hAnsi="Arial" w:cs="Times New Roman"/>
          <w:b/>
          <w:bCs/>
          <w:sz w:val="22"/>
          <w:szCs w:val="22"/>
        </w:rPr>
      </w:pPr>
      <w:r>
        <w:rPr>
          <w:rFonts w:ascii="Arial" w:eastAsia="楷体_GB2312" w:hAnsi="Arial" w:cs="楷体_GB2312" w:hint="eastAsia"/>
          <w:b/>
          <w:bCs/>
          <w:sz w:val="22"/>
          <w:szCs w:val="22"/>
        </w:rPr>
        <w:t>分位水平：江苏</w:t>
      </w:r>
      <w:r w:rsidRPr="00EF298D">
        <w:rPr>
          <w:rFonts w:ascii="Arial" w:eastAsia="楷体_GB2312" w:hAnsi="Arial" w:cs="楷体_GB2312" w:hint="eastAsia"/>
          <w:b/>
          <w:bCs/>
          <w:sz w:val="22"/>
          <w:szCs w:val="22"/>
        </w:rPr>
        <w:t>高管薪酬总额增长不均匀，马太效应持续</w:t>
      </w:r>
    </w:p>
    <w:p w:rsidR="00DA0843" w:rsidRDefault="00DA0843" w:rsidP="00CD4E43">
      <w:pPr>
        <w:spacing w:beforeLines="50"/>
        <w:ind w:firstLineChars="196" w:firstLine="31680"/>
        <w:rPr>
          <w:rFonts w:ascii="Arial" w:eastAsia="楷体_GB2312" w:hAnsi="Arial" w:cs="Times New Roman"/>
        </w:rPr>
      </w:pPr>
      <w:bookmarkStart w:id="3" w:name="_Toc332381629"/>
      <w:r w:rsidRPr="001375FF">
        <w:rPr>
          <w:rFonts w:ascii="Arial" w:eastAsia="楷体_GB2312" w:hAnsi="Arial" w:cs="Arial"/>
        </w:rPr>
        <w:t>2008</w:t>
      </w:r>
      <w:r w:rsidRPr="001375FF">
        <w:rPr>
          <w:rFonts w:ascii="Arial" w:eastAsia="楷体_GB2312" w:hAnsi="Arial" w:cs="楷体_GB2312" w:hint="eastAsia"/>
        </w:rPr>
        <w:t>年到</w:t>
      </w:r>
      <w:r w:rsidRPr="001375FF">
        <w:rPr>
          <w:rFonts w:ascii="Arial" w:eastAsia="楷体_GB2312" w:hAnsi="Arial" w:cs="Arial"/>
        </w:rPr>
        <w:t>201</w:t>
      </w:r>
      <w:r>
        <w:rPr>
          <w:rFonts w:ascii="Arial" w:eastAsia="楷体_GB2312" w:hAnsi="Arial" w:cs="Arial"/>
        </w:rPr>
        <w:t>2</w:t>
      </w:r>
      <w:r w:rsidRPr="001375FF">
        <w:rPr>
          <w:rFonts w:ascii="Arial" w:eastAsia="楷体_GB2312" w:hAnsi="Arial" w:cs="楷体_GB2312" w:hint="eastAsia"/>
        </w:rPr>
        <w:t>年，</w:t>
      </w:r>
      <w:r>
        <w:rPr>
          <w:rFonts w:ascii="Arial" w:eastAsia="楷体_GB2312" w:hAnsi="Arial" w:cs="楷体_GB2312" w:hint="eastAsia"/>
        </w:rPr>
        <w:t>江苏省</w:t>
      </w:r>
      <w:r w:rsidRPr="001375FF">
        <w:rPr>
          <w:rFonts w:ascii="Arial" w:eastAsia="楷体_GB2312" w:hAnsi="Arial" w:cs="楷体_GB2312" w:hint="eastAsia"/>
        </w:rPr>
        <w:t>上市公司</w:t>
      </w:r>
      <w:r>
        <w:rPr>
          <w:rFonts w:ascii="Arial" w:eastAsia="楷体_GB2312" w:hAnsi="Arial" w:cs="Arial"/>
        </w:rPr>
        <w:t>50</w:t>
      </w:r>
      <w:r>
        <w:rPr>
          <w:rFonts w:ascii="Arial" w:eastAsia="楷体_GB2312" w:hAnsi="Arial" w:cs="楷体_GB2312" w:hint="eastAsia"/>
        </w:rPr>
        <w:t>分位以下的高管薪酬上升幅度较为平稳</w:t>
      </w:r>
      <w:r w:rsidRPr="001375FF">
        <w:rPr>
          <w:rFonts w:ascii="Arial" w:eastAsia="楷体_GB2312" w:hAnsi="Arial" w:cs="楷体_GB2312" w:hint="eastAsia"/>
        </w:rPr>
        <w:t>，</w:t>
      </w:r>
      <w:r>
        <w:rPr>
          <w:rFonts w:ascii="Arial" w:eastAsia="楷体_GB2312" w:hAnsi="Arial" w:cs="Arial"/>
        </w:rPr>
        <w:t>50</w:t>
      </w:r>
      <w:r>
        <w:rPr>
          <w:rFonts w:ascii="Arial" w:eastAsia="楷体_GB2312" w:hAnsi="Arial" w:cs="楷体_GB2312" w:hint="eastAsia"/>
        </w:rPr>
        <w:t>分位以上的高管薪酬增幅逐步加大，尤其是</w:t>
      </w:r>
      <w:r>
        <w:rPr>
          <w:rFonts w:ascii="Arial" w:eastAsia="楷体_GB2312" w:hAnsi="Arial" w:cs="Arial"/>
        </w:rPr>
        <w:t>75</w:t>
      </w:r>
      <w:r>
        <w:rPr>
          <w:rFonts w:ascii="Arial" w:eastAsia="楷体_GB2312" w:hAnsi="Arial" w:cs="楷体_GB2312" w:hint="eastAsia"/>
        </w:rPr>
        <w:t>分位以上</w:t>
      </w:r>
      <w:r w:rsidRPr="001375FF">
        <w:rPr>
          <w:rFonts w:ascii="Arial" w:eastAsia="楷体_GB2312" w:hAnsi="Arial" w:cs="楷体_GB2312" w:hint="eastAsia"/>
        </w:rPr>
        <w:t>的高管薪酬增幅更为明显</w:t>
      </w:r>
      <w:r>
        <w:rPr>
          <w:rFonts w:ascii="Arial" w:eastAsia="楷体_GB2312" w:hAnsi="Arial" w:cs="楷体_GB2312" w:hint="eastAsia"/>
        </w:rPr>
        <w:t>。</w:t>
      </w:r>
    </w:p>
    <w:p w:rsidR="00DA0843" w:rsidRDefault="00DA0843" w:rsidP="00370B4F">
      <w:pPr>
        <w:spacing w:beforeLines="50"/>
        <w:ind w:firstLineChars="196" w:firstLine="31680"/>
        <w:rPr>
          <w:rFonts w:ascii="Arial" w:eastAsia="楷体_GB2312" w:hAnsi="Arial" w:cs="Times New Roman"/>
        </w:rPr>
      </w:pPr>
      <w:r w:rsidRPr="00F42B3D">
        <w:rPr>
          <w:rFonts w:ascii="Arial" w:eastAsia="楷体_GB2312" w:hAnsi="Arial" w:cs="楷体_GB2312" w:hint="eastAsia"/>
        </w:rPr>
        <w:t>从</w:t>
      </w:r>
      <w:r>
        <w:rPr>
          <w:rFonts w:ascii="Arial" w:eastAsia="楷体_GB2312" w:hAnsi="Arial" w:cs="楷体_GB2312" w:hint="eastAsia"/>
        </w:rPr>
        <w:t>高管薪酬极值情况来看，</w:t>
      </w:r>
      <w:r>
        <w:rPr>
          <w:rFonts w:ascii="Arial" w:eastAsia="楷体_GB2312" w:hAnsi="Arial" w:cs="Arial"/>
        </w:rPr>
        <w:t>2008</w:t>
      </w:r>
      <w:r>
        <w:rPr>
          <w:rFonts w:ascii="Arial" w:eastAsia="楷体_GB2312" w:hAnsi="Arial" w:cs="楷体_GB2312" w:hint="eastAsia"/>
        </w:rPr>
        <w:t>至</w:t>
      </w:r>
      <w:r>
        <w:rPr>
          <w:rFonts w:ascii="Arial" w:eastAsia="楷体_GB2312" w:hAnsi="Arial" w:cs="Arial"/>
        </w:rPr>
        <w:t>2012</w:t>
      </w:r>
      <w:r>
        <w:rPr>
          <w:rFonts w:ascii="Arial" w:eastAsia="楷体_GB2312" w:hAnsi="Arial" w:cs="楷体_GB2312" w:hint="eastAsia"/>
        </w:rPr>
        <w:t>年江苏省上市公司高管年薪最高值波动较大，</w:t>
      </w:r>
      <w:r>
        <w:rPr>
          <w:rFonts w:ascii="Arial" w:eastAsia="楷体_GB2312" w:hAnsi="Arial" w:cs="Arial"/>
        </w:rPr>
        <w:t>2008</w:t>
      </w:r>
      <w:r>
        <w:rPr>
          <w:rFonts w:ascii="Arial" w:eastAsia="楷体_GB2312" w:hAnsi="Arial" w:cs="楷体_GB2312" w:hint="eastAsia"/>
        </w:rPr>
        <w:t>年高管年薪最高值为</w:t>
      </w:r>
      <w:r>
        <w:rPr>
          <w:rFonts w:ascii="Arial" w:eastAsia="楷体_GB2312" w:hAnsi="Arial" w:cs="Arial"/>
        </w:rPr>
        <w:t>255.14</w:t>
      </w:r>
      <w:r>
        <w:rPr>
          <w:rFonts w:ascii="Arial" w:eastAsia="楷体_GB2312" w:hAnsi="Arial" w:cs="楷体_GB2312" w:hint="eastAsia"/>
        </w:rPr>
        <w:t>万元，</w:t>
      </w:r>
      <w:r>
        <w:rPr>
          <w:rFonts w:ascii="Arial" w:eastAsia="楷体_GB2312" w:hAnsi="Arial" w:cs="Arial"/>
        </w:rPr>
        <w:t>2009</w:t>
      </w:r>
      <w:r>
        <w:rPr>
          <w:rFonts w:ascii="Arial" w:eastAsia="楷体_GB2312" w:hAnsi="Arial" w:cs="楷体_GB2312" w:hint="eastAsia"/>
        </w:rPr>
        <w:t>年则降至</w:t>
      </w:r>
      <w:r>
        <w:rPr>
          <w:rFonts w:ascii="Arial" w:eastAsia="楷体_GB2312" w:hAnsi="Arial" w:cs="Arial"/>
        </w:rPr>
        <w:t>178.21</w:t>
      </w:r>
      <w:r>
        <w:rPr>
          <w:rFonts w:ascii="Arial" w:eastAsia="楷体_GB2312" w:hAnsi="Arial" w:cs="楷体_GB2312" w:hint="eastAsia"/>
        </w:rPr>
        <w:t>万元，在</w:t>
      </w:r>
      <w:r>
        <w:rPr>
          <w:rFonts w:ascii="Arial" w:eastAsia="楷体_GB2312" w:hAnsi="Arial" w:cs="Arial"/>
        </w:rPr>
        <w:t>2010</w:t>
      </w:r>
      <w:r>
        <w:rPr>
          <w:rFonts w:ascii="Arial" w:eastAsia="楷体_GB2312" w:hAnsi="Arial" w:cs="楷体_GB2312" w:hint="eastAsia"/>
        </w:rPr>
        <w:t>年回升到</w:t>
      </w:r>
      <w:r>
        <w:rPr>
          <w:rFonts w:ascii="Arial" w:eastAsia="楷体_GB2312" w:hAnsi="Arial" w:cs="Arial"/>
        </w:rPr>
        <w:t>245.58</w:t>
      </w:r>
      <w:r>
        <w:rPr>
          <w:rFonts w:ascii="Arial" w:eastAsia="楷体_GB2312" w:hAnsi="Arial" w:cs="楷体_GB2312" w:hint="eastAsia"/>
        </w:rPr>
        <w:t>万元后又于</w:t>
      </w:r>
      <w:r>
        <w:rPr>
          <w:rFonts w:ascii="Arial" w:eastAsia="楷体_GB2312" w:hAnsi="Arial" w:cs="Arial"/>
        </w:rPr>
        <w:t>2011</w:t>
      </w:r>
      <w:r>
        <w:rPr>
          <w:rFonts w:ascii="Arial" w:eastAsia="楷体_GB2312" w:hAnsi="Arial" w:cs="楷体_GB2312" w:hint="eastAsia"/>
        </w:rPr>
        <w:t>年小幅回落至</w:t>
      </w:r>
      <w:r>
        <w:rPr>
          <w:rFonts w:ascii="Arial" w:eastAsia="楷体_GB2312" w:hAnsi="Arial" w:cs="Arial"/>
        </w:rPr>
        <w:t>240</w:t>
      </w:r>
      <w:r>
        <w:rPr>
          <w:rFonts w:ascii="Arial" w:eastAsia="楷体_GB2312" w:hAnsi="Arial" w:cs="楷体_GB2312" w:hint="eastAsia"/>
        </w:rPr>
        <w:t>万元，</w:t>
      </w:r>
      <w:r>
        <w:rPr>
          <w:rFonts w:ascii="Arial" w:eastAsia="楷体_GB2312" w:hAnsi="Arial" w:cs="Arial"/>
        </w:rPr>
        <w:t>2012</w:t>
      </w:r>
      <w:r>
        <w:rPr>
          <w:rFonts w:ascii="Arial" w:eastAsia="楷体_GB2312" w:hAnsi="Arial" w:cs="楷体_GB2312" w:hint="eastAsia"/>
        </w:rPr>
        <w:t>年最高值为</w:t>
      </w:r>
      <w:r>
        <w:rPr>
          <w:rFonts w:ascii="Arial" w:eastAsia="楷体_GB2312" w:hAnsi="Arial" w:cs="Arial"/>
        </w:rPr>
        <w:t>253</w:t>
      </w:r>
      <w:r>
        <w:rPr>
          <w:rFonts w:ascii="Arial" w:eastAsia="楷体_GB2312" w:hAnsi="Arial" w:cs="楷体_GB2312" w:hint="eastAsia"/>
        </w:rPr>
        <w:t>万元。</w:t>
      </w:r>
    </w:p>
    <w:p w:rsidR="00DA0843" w:rsidRPr="00035403" w:rsidRDefault="00DA0843" w:rsidP="00A83D19">
      <w:pPr>
        <w:jc w:val="center"/>
        <w:rPr>
          <w:rFonts w:ascii="Arial" w:eastAsia="楷体_GB2312" w:hAnsi="Arial" w:cs="Arial"/>
          <w:b/>
          <w:bCs/>
        </w:rPr>
      </w:pPr>
      <w:r>
        <w:rPr>
          <w:rFonts w:ascii="Arial" w:eastAsia="楷体_GB2312" w:hAnsi="Arial" w:cs="Arial"/>
          <w:b/>
          <w:bCs/>
        </w:rPr>
        <w:t>2012</w:t>
      </w:r>
      <w:r w:rsidRPr="00035403">
        <w:rPr>
          <w:rFonts w:ascii="Arial" w:eastAsia="楷体_GB2312" w:hAnsi="Arial" w:cs="楷体_GB2312" w:hint="eastAsia"/>
          <w:b/>
          <w:bCs/>
        </w:rPr>
        <w:t>年</w:t>
      </w:r>
      <w:r>
        <w:rPr>
          <w:rFonts w:ascii="Arial" w:eastAsia="楷体_GB2312" w:hAnsi="Arial" w:cs="楷体_GB2312" w:hint="eastAsia"/>
          <w:b/>
          <w:bCs/>
        </w:rPr>
        <w:t>江苏省</w:t>
      </w:r>
      <w:r w:rsidRPr="00035403">
        <w:rPr>
          <w:rFonts w:ascii="Arial" w:eastAsia="楷体_GB2312" w:hAnsi="Arial" w:cs="楷体_GB2312" w:hint="eastAsia"/>
          <w:b/>
          <w:bCs/>
        </w:rPr>
        <w:t>上市公司总经理薪酬排名前</w:t>
      </w:r>
      <w:r w:rsidRPr="00035403">
        <w:rPr>
          <w:rFonts w:ascii="Arial" w:eastAsia="楷体_GB2312" w:hAnsi="Arial" w:cs="Arial"/>
          <w:b/>
          <w:bCs/>
        </w:rPr>
        <w:t>10</w:t>
      </w: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3"/>
        <w:gridCol w:w="1134"/>
        <w:gridCol w:w="1701"/>
        <w:gridCol w:w="992"/>
        <w:gridCol w:w="992"/>
        <w:gridCol w:w="1843"/>
        <w:gridCol w:w="709"/>
        <w:gridCol w:w="1417"/>
      </w:tblGrid>
      <w:tr w:rsidR="00DA0843" w:rsidRPr="00035403">
        <w:trPr>
          <w:trHeight w:val="555"/>
        </w:trPr>
        <w:tc>
          <w:tcPr>
            <w:tcW w:w="993" w:type="dxa"/>
            <w:shd w:val="clear" w:color="000000" w:fill="92D050"/>
            <w:vAlign w:val="center"/>
          </w:tcPr>
          <w:p w:rsidR="00DA0843" w:rsidRPr="00B658A6" w:rsidRDefault="00DA0843" w:rsidP="00DE2C55">
            <w:pPr>
              <w:widowControl/>
              <w:jc w:val="center"/>
              <w:rPr>
                <w:rFonts w:ascii="Arial" w:eastAsia="楷体_GB2312" w:hAnsi="Arial" w:cs="Times New Roman"/>
                <w:b/>
                <w:bCs/>
                <w:color w:val="000000"/>
                <w:kern w:val="0"/>
                <w:sz w:val="18"/>
                <w:szCs w:val="18"/>
              </w:rPr>
            </w:pPr>
            <w:r w:rsidRPr="00B658A6">
              <w:rPr>
                <w:rFonts w:ascii="Arial" w:eastAsia="楷体_GB2312" w:hAnsi="Arial" w:cs="楷体_GB2312" w:hint="eastAsia"/>
                <w:b/>
                <w:bCs/>
                <w:color w:val="000000"/>
                <w:kern w:val="0"/>
                <w:sz w:val="18"/>
                <w:szCs w:val="18"/>
              </w:rPr>
              <w:t>股票代码</w:t>
            </w:r>
          </w:p>
        </w:tc>
        <w:tc>
          <w:tcPr>
            <w:tcW w:w="1134" w:type="dxa"/>
            <w:shd w:val="clear" w:color="000000" w:fill="92D050"/>
            <w:vAlign w:val="center"/>
          </w:tcPr>
          <w:p w:rsidR="00DA0843" w:rsidRPr="00B658A6" w:rsidRDefault="00DA0843" w:rsidP="00DE2C55">
            <w:pPr>
              <w:widowControl/>
              <w:jc w:val="center"/>
              <w:rPr>
                <w:rFonts w:ascii="Arial" w:eastAsia="楷体_GB2312" w:hAnsi="Arial" w:cs="Times New Roman"/>
                <w:b/>
                <w:bCs/>
                <w:color w:val="000000"/>
                <w:kern w:val="0"/>
                <w:sz w:val="18"/>
                <w:szCs w:val="18"/>
              </w:rPr>
            </w:pPr>
            <w:r w:rsidRPr="00B658A6">
              <w:rPr>
                <w:rFonts w:ascii="Arial" w:eastAsia="楷体_GB2312" w:hAnsi="Arial" w:cs="楷体_GB2312" w:hint="eastAsia"/>
                <w:b/>
                <w:bCs/>
                <w:color w:val="000000"/>
                <w:kern w:val="0"/>
                <w:sz w:val="18"/>
                <w:szCs w:val="18"/>
              </w:rPr>
              <w:t>股票简称</w:t>
            </w:r>
          </w:p>
        </w:tc>
        <w:tc>
          <w:tcPr>
            <w:tcW w:w="1701" w:type="dxa"/>
            <w:shd w:val="clear" w:color="000000" w:fill="92D050"/>
            <w:vAlign w:val="center"/>
          </w:tcPr>
          <w:p w:rsidR="00DA0843" w:rsidRPr="00B658A6" w:rsidRDefault="00DA0843" w:rsidP="00DE2C55">
            <w:pPr>
              <w:widowControl/>
              <w:jc w:val="center"/>
              <w:rPr>
                <w:rFonts w:ascii="Arial" w:eastAsia="楷体_GB2312" w:hAnsi="Arial" w:cs="Times New Roman"/>
                <w:b/>
                <w:bCs/>
                <w:color w:val="000000"/>
                <w:kern w:val="0"/>
                <w:sz w:val="18"/>
                <w:szCs w:val="18"/>
              </w:rPr>
            </w:pPr>
            <w:r>
              <w:rPr>
                <w:rFonts w:ascii="Arial" w:eastAsia="楷体_GB2312" w:hAnsi="Arial" w:cs="楷体_GB2312" w:hint="eastAsia"/>
                <w:b/>
                <w:bCs/>
                <w:color w:val="000000"/>
                <w:kern w:val="0"/>
                <w:sz w:val="18"/>
                <w:szCs w:val="18"/>
              </w:rPr>
              <w:t>行业</w:t>
            </w:r>
          </w:p>
        </w:tc>
        <w:tc>
          <w:tcPr>
            <w:tcW w:w="992" w:type="dxa"/>
            <w:shd w:val="clear" w:color="000000" w:fill="92D050"/>
            <w:vAlign w:val="center"/>
          </w:tcPr>
          <w:p w:rsidR="00DA0843" w:rsidRPr="008E719E" w:rsidRDefault="00DA0843" w:rsidP="00DE2C55">
            <w:pPr>
              <w:widowControl/>
              <w:jc w:val="center"/>
              <w:rPr>
                <w:rFonts w:ascii="楷体_GB2312" w:eastAsia="楷体_GB2312" w:hAnsi="Arial" w:cs="Times New Roman"/>
                <w:b/>
                <w:bCs/>
                <w:color w:val="000000"/>
                <w:kern w:val="0"/>
                <w:sz w:val="18"/>
                <w:szCs w:val="18"/>
              </w:rPr>
            </w:pPr>
            <w:r w:rsidRPr="008E719E">
              <w:rPr>
                <w:rFonts w:ascii="楷体_GB2312" w:eastAsia="楷体_GB2312" w:hAnsi="Arial" w:cs="楷体_GB2312" w:hint="eastAsia"/>
                <w:b/>
                <w:bCs/>
                <w:color w:val="000000"/>
                <w:kern w:val="0"/>
                <w:sz w:val="18"/>
                <w:szCs w:val="18"/>
              </w:rPr>
              <w:t>所有制</w:t>
            </w:r>
          </w:p>
        </w:tc>
        <w:tc>
          <w:tcPr>
            <w:tcW w:w="992" w:type="dxa"/>
            <w:shd w:val="clear" w:color="000000" w:fill="92D050"/>
            <w:vAlign w:val="center"/>
          </w:tcPr>
          <w:p w:rsidR="00DA0843" w:rsidRPr="00B658A6" w:rsidRDefault="00DA0843" w:rsidP="00DE2C55">
            <w:pPr>
              <w:widowControl/>
              <w:jc w:val="center"/>
              <w:rPr>
                <w:rFonts w:ascii="Arial" w:eastAsia="楷体_GB2312" w:hAnsi="Arial" w:cs="Times New Roman"/>
                <w:b/>
                <w:bCs/>
                <w:color w:val="000000"/>
                <w:kern w:val="0"/>
                <w:sz w:val="18"/>
                <w:szCs w:val="18"/>
              </w:rPr>
            </w:pPr>
            <w:r w:rsidRPr="00B658A6">
              <w:rPr>
                <w:rFonts w:ascii="Arial" w:eastAsia="楷体_GB2312" w:hAnsi="Arial" w:cs="楷体_GB2312" w:hint="eastAsia"/>
                <w:b/>
                <w:bCs/>
                <w:color w:val="000000"/>
                <w:kern w:val="0"/>
                <w:sz w:val="18"/>
                <w:szCs w:val="18"/>
              </w:rPr>
              <w:t>姓名</w:t>
            </w:r>
          </w:p>
        </w:tc>
        <w:tc>
          <w:tcPr>
            <w:tcW w:w="1843" w:type="dxa"/>
            <w:shd w:val="clear" w:color="000000" w:fill="92D050"/>
            <w:vAlign w:val="center"/>
          </w:tcPr>
          <w:p w:rsidR="00DA0843" w:rsidRPr="00B658A6" w:rsidRDefault="00DA0843" w:rsidP="00DE2C55">
            <w:pPr>
              <w:widowControl/>
              <w:jc w:val="center"/>
              <w:rPr>
                <w:rFonts w:ascii="Arial" w:eastAsia="楷体_GB2312" w:hAnsi="Arial" w:cs="Times New Roman"/>
                <w:b/>
                <w:bCs/>
                <w:color w:val="000000"/>
                <w:kern w:val="0"/>
                <w:sz w:val="18"/>
                <w:szCs w:val="18"/>
              </w:rPr>
            </w:pPr>
            <w:r w:rsidRPr="00B658A6">
              <w:rPr>
                <w:rFonts w:ascii="Arial" w:eastAsia="楷体_GB2312" w:hAnsi="Arial" w:cs="楷体_GB2312" w:hint="eastAsia"/>
                <w:b/>
                <w:bCs/>
                <w:color w:val="000000"/>
                <w:kern w:val="0"/>
                <w:sz w:val="18"/>
                <w:szCs w:val="18"/>
              </w:rPr>
              <w:t>职务</w:t>
            </w:r>
          </w:p>
        </w:tc>
        <w:tc>
          <w:tcPr>
            <w:tcW w:w="709" w:type="dxa"/>
            <w:shd w:val="clear" w:color="000000" w:fill="92D050"/>
            <w:vAlign w:val="center"/>
          </w:tcPr>
          <w:p w:rsidR="00DA0843" w:rsidRPr="00B658A6" w:rsidRDefault="00DA0843" w:rsidP="00DE2C55">
            <w:pPr>
              <w:widowControl/>
              <w:jc w:val="center"/>
              <w:rPr>
                <w:rFonts w:ascii="Arial" w:eastAsia="楷体_GB2312" w:hAnsi="Arial" w:cs="Times New Roman"/>
                <w:b/>
                <w:bCs/>
                <w:color w:val="000000"/>
                <w:kern w:val="0"/>
                <w:sz w:val="18"/>
                <w:szCs w:val="18"/>
              </w:rPr>
            </w:pPr>
            <w:r w:rsidRPr="00B658A6">
              <w:rPr>
                <w:rFonts w:ascii="Arial" w:eastAsia="楷体_GB2312" w:hAnsi="Arial" w:cs="楷体_GB2312" w:hint="eastAsia"/>
                <w:b/>
                <w:bCs/>
                <w:color w:val="000000"/>
                <w:kern w:val="0"/>
                <w:sz w:val="18"/>
                <w:szCs w:val="18"/>
              </w:rPr>
              <w:t>性别</w:t>
            </w:r>
          </w:p>
        </w:tc>
        <w:tc>
          <w:tcPr>
            <w:tcW w:w="1417" w:type="dxa"/>
            <w:shd w:val="clear" w:color="000000" w:fill="92D050"/>
            <w:vAlign w:val="center"/>
          </w:tcPr>
          <w:p w:rsidR="00DA0843" w:rsidRPr="00B658A6" w:rsidRDefault="00DA0843" w:rsidP="00DE2C55">
            <w:pPr>
              <w:widowControl/>
              <w:jc w:val="center"/>
              <w:rPr>
                <w:rFonts w:ascii="Arial" w:eastAsia="楷体_GB2312" w:hAnsi="Arial" w:cs="Times New Roman"/>
                <w:b/>
                <w:bCs/>
                <w:color w:val="000000"/>
                <w:kern w:val="0"/>
                <w:sz w:val="18"/>
                <w:szCs w:val="18"/>
              </w:rPr>
            </w:pPr>
            <w:r w:rsidRPr="00B658A6">
              <w:rPr>
                <w:rFonts w:ascii="Arial" w:eastAsia="楷体_GB2312" w:hAnsi="Arial" w:cs="楷体_GB2312" w:hint="eastAsia"/>
                <w:b/>
                <w:bCs/>
                <w:color w:val="000000"/>
                <w:kern w:val="0"/>
                <w:sz w:val="18"/>
                <w:szCs w:val="18"/>
              </w:rPr>
              <w:t>合计：年度薪酬总额（万元）</w:t>
            </w:r>
          </w:p>
        </w:tc>
      </w:tr>
      <w:tr w:rsidR="00DA0843" w:rsidRPr="00035403">
        <w:trPr>
          <w:trHeight w:val="360"/>
        </w:trPr>
        <w:tc>
          <w:tcPr>
            <w:tcW w:w="993" w:type="dxa"/>
            <w:noWrap/>
            <w:vAlign w:val="center"/>
          </w:tcPr>
          <w:p w:rsidR="00DA0843" w:rsidRPr="008E719E" w:rsidRDefault="00DA0843" w:rsidP="00DE2C55">
            <w:pPr>
              <w:jc w:val="center"/>
              <w:rPr>
                <w:rFonts w:ascii="Arial" w:eastAsia="楷体_GB2312" w:hAnsi="Arial" w:cs="Arial"/>
                <w:color w:val="000000"/>
                <w:sz w:val="20"/>
                <w:szCs w:val="20"/>
              </w:rPr>
            </w:pPr>
            <w:r w:rsidRPr="008E719E">
              <w:rPr>
                <w:rFonts w:ascii="Arial" w:eastAsia="楷体_GB2312" w:hAnsi="Arial" w:cs="Arial"/>
                <w:color w:val="000000"/>
                <w:sz w:val="20"/>
                <w:szCs w:val="20"/>
              </w:rPr>
              <w:t>000425</w:t>
            </w:r>
          </w:p>
        </w:tc>
        <w:tc>
          <w:tcPr>
            <w:tcW w:w="1134" w:type="dxa"/>
            <w:noWrap/>
            <w:vAlign w:val="center"/>
          </w:tcPr>
          <w:p w:rsidR="00DA0843" w:rsidRPr="008E719E" w:rsidRDefault="00DA0843" w:rsidP="00DE2C55">
            <w:pPr>
              <w:jc w:val="center"/>
              <w:rPr>
                <w:rFonts w:ascii="Arial" w:eastAsia="楷体_GB2312" w:hAnsi="Arial" w:cs="Times New Roman"/>
                <w:color w:val="000000"/>
                <w:sz w:val="20"/>
                <w:szCs w:val="20"/>
              </w:rPr>
            </w:pPr>
            <w:r w:rsidRPr="008E719E">
              <w:rPr>
                <w:rFonts w:ascii="Arial" w:eastAsia="楷体_GB2312" w:hAnsi="Arial" w:cs="楷体_GB2312" w:hint="eastAsia"/>
                <w:color w:val="000000"/>
                <w:sz w:val="20"/>
                <w:szCs w:val="20"/>
              </w:rPr>
              <w:t>徐工机械</w:t>
            </w:r>
          </w:p>
        </w:tc>
        <w:tc>
          <w:tcPr>
            <w:tcW w:w="1701" w:type="dxa"/>
            <w:vAlign w:val="center"/>
          </w:tcPr>
          <w:p w:rsidR="00DA0843" w:rsidRPr="008E719E" w:rsidRDefault="00DA0843" w:rsidP="00DE2C55">
            <w:pPr>
              <w:jc w:val="center"/>
              <w:rPr>
                <w:rFonts w:ascii="Arial" w:eastAsia="楷体_GB2312" w:hAnsi="Arial" w:cs="Times New Roman"/>
                <w:color w:val="000000"/>
                <w:sz w:val="20"/>
                <w:szCs w:val="20"/>
              </w:rPr>
            </w:pPr>
            <w:r w:rsidRPr="008E719E">
              <w:rPr>
                <w:rFonts w:ascii="Arial" w:eastAsia="楷体_GB2312" w:hAnsi="Arial" w:cs="楷体_GB2312" w:hint="eastAsia"/>
                <w:color w:val="000000"/>
                <w:sz w:val="20"/>
                <w:szCs w:val="20"/>
              </w:rPr>
              <w:t>制造业</w:t>
            </w:r>
          </w:p>
        </w:tc>
        <w:tc>
          <w:tcPr>
            <w:tcW w:w="992" w:type="dxa"/>
            <w:vAlign w:val="center"/>
          </w:tcPr>
          <w:p w:rsidR="00DA0843" w:rsidRPr="008E719E" w:rsidRDefault="00DA0843" w:rsidP="00DE2C55">
            <w:pPr>
              <w:jc w:val="center"/>
              <w:rPr>
                <w:rFonts w:ascii="楷体_GB2312" w:eastAsia="楷体_GB2312" w:hAnsi="Arial" w:cs="Times New Roman"/>
                <w:color w:val="000000"/>
                <w:sz w:val="20"/>
                <w:szCs w:val="20"/>
              </w:rPr>
            </w:pPr>
            <w:r w:rsidRPr="008E719E">
              <w:rPr>
                <w:rFonts w:ascii="楷体_GB2312" w:eastAsia="楷体_GB2312" w:hAnsi="Arial" w:cs="楷体_GB2312" w:hint="eastAsia"/>
                <w:color w:val="000000"/>
                <w:sz w:val="20"/>
                <w:szCs w:val="20"/>
              </w:rPr>
              <w:t>国有</w:t>
            </w:r>
          </w:p>
        </w:tc>
        <w:tc>
          <w:tcPr>
            <w:tcW w:w="992" w:type="dxa"/>
            <w:noWrap/>
            <w:vAlign w:val="center"/>
          </w:tcPr>
          <w:p w:rsidR="00DA0843" w:rsidRPr="008E719E" w:rsidRDefault="00DA0843" w:rsidP="00DE2C55">
            <w:pPr>
              <w:jc w:val="center"/>
              <w:rPr>
                <w:rFonts w:ascii="Arial" w:eastAsia="楷体_GB2312" w:hAnsi="Arial" w:cs="Times New Roman"/>
                <w:color w:val="000000"/>
                <w:sz w:val="20"/>
                <w:szCs w:val="20"/>
              </w:rPr>
            </w:pPr>
            <w:r w:rsidRPr="008E719E">
              <w:rPr>
                <w:rFonts w:ascii="Arial" w:eastAsia="楷体_GB2312" w:hAnsi="Arial" w:cs="楷体_GB2312" w:hint="eastAsia"/>
                <w:color w:val="000000"/>
                <w:sz w:val="20"/>
                <w:szCs w:val="20"/>
              </w:rPr>
              <w:t>王民</w:t>
            </w:r>
          </w:p>
        </w:tc>
        <w:tc>
          <w:tcPr>
            <w:tcW w:w="1843" w:type="dxa"/>
            <w:noWrap/>
            <w:vAlign w:val="center"/>
          </w:tcPr>
          <w:p w:rsidR="00DA0843" w:rsidRPr="008E719E" w:rsidRDefault="00DA0843" w:rsidP="00DE2C55">
            <w:pPr>
              <w:jc w:val="center"/>
              <w:rPr>
                <w:rFonts w:ascii="Arial" w:eastAsia="楷体_GB2312" w:hAnsi="Arial" w:cs="Times New Roman"/>
                <w:color w:val="000000"/>
                <w:sz w:val="20"/>
                <w:szCs w:val="20"/>
              </w:rPr>
            </w:pPr>
            <w:r w:rsidRPr="008E719E">
              <w:rPr>
                <w:rFonts w:ascii="Arial" w:eastAsia="楷体_GB2312" w:hAnsi="Arial" w:cs="楷体_GB2312" w:hint="eastAsia"/>
                <w:color w:val="000000"/>
                <w:sz w:val="20"/>
                <w:szCs w:val="20"/>
              </w:rPr>
              <w:t>董事长、总裁</w:t>
            </w:r>
          </w:p>
        </w:tc>
        <w:tc>
          <w:tcPr>
            <w:tcW w:w="709" w:type="dxa"/>
            <w:vAlign w:val="center"/>
          </w:tcPr>
          <w:p w:rsidR="00DA0843" w:rsidRPr="008E719E" w:rsidRDefault="00DA0843" w:rsidP="00DE2C55">
            <w:pPr>
              <w:jc w:val="center"/>
              <w:rPr>
                <w:rFonts w:ascii="Arial" w:eastAsia="楷体_GB2312" w:hAnsi="Arial" w:cs="Times New Roman"/>
                <w:color w:val="000000"/>
                <w:sz w:val="20"/>
                <w:szCs w:val="20"/>
              </w:rPr>
            </w:pPr>
            <w:r w:rsidRPr="008E719E">
              <w:rPr>
                <w:rFonts w:ascii="Arial" w:eastAsia="楷体_GB2312" w:hAnsi="Arial" w:cs="楷体_GB2312" w:hint="eastAsia"/>
                <w:color w:val="000000"/>
                <w:sz w:val="20"/>
                <w:szCs w:val="20"/>
              </w:rPr>
              <w:t>男</w:t>
            </w:r>
          </w:p>
        </w:tc>
        <w:tc>
          <w:tcPr>
            <w:tcW w:w="1417" w:type="dxa"/>
            <w:noWrap/>
            <w:vAlign w:val="center"/>
          </w:tcPr>
          <w:p w:rsidR="00DA0843" w:rsidRPr="008E719E" w:rsidRDefault="00DA0843" w:rsidP="00DE2C55">
            <w:pPr>
              <w:jc w:val="center"/>
              <w:rPr>
                <w:rFonts w:ascii="Arial" w:eastAsia="楷体_GB2312" w:hAnsi="Arial" w:cs="Arial"/>
                <w:color w:val="000000"/>
                <w:sz w:val="20"/>
                <w:szCs w:val="20"/>
              </w:rPr>
            </w:pPr>
            <w:r w:rsidRPr="008E719E">
              <w:rPr>
                <w:rFonts w:ascii="Arial" w:eastAsia="楷体_GB2312" w:hAnsi="Arial" w:cs="Arial"/>
                <w:color w:val="000000"/>
                <w:sz w:val="20"/>
                <w:szCs w:val="20"/>
              </w:rPr>
              <w:t xml:space="preserve">253.05 </w:t>
            </w:r>
          </w:p>
        </w:tc>
      </w:tr>
      <w:tr w:rsidR="00DA0843" w:rsidRPr="00035403">
        <w:trPr>
          <w:trHeight w:val="360"/>
        </w:trPr>
        <w:tc>
          <w:tcPr>
            <w:tcW w:w="993" w:type="dxa"/>
            <w:noWrap/>
            <w:vAlign w:val="center"/>
          </w:tcPr>
          <w:p w:rsidR="00DA0843" w:rsidRPr="008E719E" w:rsidRDefault="00DA0843" w:rsidP="00DE2C55">
            <w:pPr>
              <w:jc w:val="center"/>
              <w:rPr>
                <w:rFonts w:ascii="Arial" w:eastAsia="楷体_GB2312" w:hAnsi="Arial" w:cs="Arial"/>
                <w:color w:val="000000"/>
                <w:sz w:val="20"/>
                <w:szCs w:val="20"/>
              </w:rPr>
            </w:pPr>
            <w:r w:rsidRPr="008E719E">
              <w:rPr>
                <w:rFonts w:ascii="Arial" w:eastAsia="楷体_GB2312" w:hAnsi="Arial" w:cs="Arial"/>
                <w:color w:val="000000"/>
                <w:sz w:val="20"/>
                <w:szCs w:val="20"/>
              </w:rPr>
              <w:t>601688</w:t>
            </w:r>
          </w:p>
        </w:tc>
        <w:tc>
          <w:tcPr>
            <w:tcW w:w="1134" w:type="dxa"/>
            <w:noWrap/>
            <w:vAlign w:val="center"/>
          </w:tcPr>
          <w:p w:rsidR="00DA0843" w:rsidRPr="008E719E" w:rsidRDefault="00DA0843" w:rsidP="00DE2C55">
            <w:pPr>
              <w:jc w:val="center"/>
              <w:rPr>
                <w:rFonts w:ascii="Arial" w:eastAsia="楷体_GB2312" w:hAnsi="Arial" w:cs="Times New Roman"/>
                <w:color w:val="000000"/>
                <w:sz w:val="20"/>
                <w:szCs w:val="20"/>
              </w:rPr>
            </w:pPr>
            <w:r w:rsidRPr="008E719E">
              <w:rPr>
                <w:rFonts w:ascii="Arial" w:eastAsia="楷体_GB2312" w:hAnsi="Arial" w:cs="楷体_GB2312" w:hint="eastAsia"/>
                <w:color w:val="000000"/>
                <w:sz w:val="20"/>
                <w:szCs w:val="20"/>
              </w:rPr>
              <w:t>华泰证券</w:t>
            </w:r>
          </w:p>
        </w:tc>
        <w:tc>
          <w:tcPr>
            <w:tcW w:w="1701" w:type="dxa"/>
            <w:vAlign w:val="center"/>
          </w:tcPr>
          <w:p w:rsidR="00DA0843" w:rsidRPr="008E719E" w:rsidRDefault="00DA0843" w:rsidP="00DE2C55">
            <w:pPr>
              <w:jc w:val="center"/>
              <w:rPr>
                <w:rFonts w:ascii="Arial" w:eastAsia="楷体_GB2312" w:hAnsi="Arial" w:cs="Times New Roman"/>
                <w:color w:val="000000"/>
                <w:sz w:val="20"/>
                <w:szCs w:val="20"/>
              </w:rPr>
            </w:pPr>
            <w:r w:rsidRPr="008E719E">
              <w:rPr>
                <w:rFonts w:ascii="Arial" w:eastAsia="楷体_GB2312" w:hAnsi="Arial" w:cs="楷体_GB2312" w:hint="eastAsia"/>
                <w:color w:val="000000"/>
                <w:sz w:val="20"/>
                <w:szCs w:val="20"/>
              </w:rPr>
              <w:t>金融、保险业</w:t>
            </w:r>
          </w:p>
        </w:tc>
        <w:tc>
          <w:tcPr>
            <w:tcW w:w="992" w:type="dxa"/>
            <w:vAlign w:val="center"/>
          </w:tcPr>
          <w:p w:rsidR="00DA0843" w:rsidRPr="008E719E" w:rsidRDefault="00DA0843" w:rsidP="00DE2C55">
            <w:pPr>
              <w:jc w:val="center"/>
              <w:rPr>
                <w:rFonts w:ascii="楷体_GB2312" w:eastAsia="楷体_GB2312" w:hAnsi="Arial" w:cs="Times New Roman"/>
                <w:color w:val="000000"/>
                <w:sz w:val="20"/>
                <w:szCs w:val="20"/>
              </w:rPr>
            </w:pPr>
            <w:r w:rsidRPr="008E719E">
              <w:rPr>
                <w:rFonts w:ascii="楷体_GB2312" w:eastAsia="楷体_GB2312" w:hAnsi="Arial" w:cs="楷体_GB2312" w:hint="eastAsia"/>
                <w:color w:val="000000"/>
                <w:sz w:val="20"/>
                <w:szCs w:val="20"/>
              </w:rPr>
              <w:t>国有</w:t>
            </w:r>
          </w:p>
        </w:tc>
        <w:tc>
          <w:tcPr>
            <w:tcW w:w="992" w:type="dxa"/>
            <w:noWrap/>
            <w:vAlign w:val="center"/>
          </w:tcPr>
          <w:p w:rsidR="00DA0843" w:rsidRPr="008E719E" w:rsidRDefault="00DA0843" w:rsidP="00DE2C55">
            <w:pPr>
              <w:jc w:val="center"/>
              <w:rPr>
                <w:rFonts w:ascii="Arial" w:eastAsia="楷体_GB2312" w:hAnsi="Arial" w:cs="Times New Roman"/>
                <w:color w:val="000000"/>
                <w:sz w:val="20"/>
                <w:szCs w:val="20"/>
              </w:rPr>
            </w:pPr>
            <w:r w:rsidRPr="008E719E">
              <w:rPr>
                <w:rFonts w:ascii="Arial" w:eastAsia="楷体_GB2312" w:hAnsi="Arial" w:cs="楷体_GB2312" w:hint="eastAsia"/>
                <w:color w:val="000000"/>
                <w:sz w:val="20"/>
                <w:szCs w:val="20"/>
              </w:rPr>
              <w:t>周易</w:t>
            </w:r>
          </w:p>
        </w:tc>
        <w:tc>
          <w:tcPr>
            <w:tcW w:w="1843" w:type="dxa"/>
            <w:noWrap/>
            <w:vAlign w:val="center"/>
          </w:tcPr>
          <w:p w:rsidR="00DA0843" w:rsidRPr="008E719E" w:rsidRDefault="00DA0843" w:rsidP="00DE2C55">
            <w:pPr>
              <w:jc w:val="center"/>
              <w:rPr>
                <w:rFonts w:ascii="Arial" w:eastAsia="楷体_GB2312" w:hAnsi="Arial" w:cs="Times New Roman"/>
                <w:color w:val="000000"/>
                <w:sz w:val="20"/>
                <w:szCs w:val="20"/>
              </w:rPr>
            </w:pPr>
            <w:r w:rsidRPr="008E719E">
              <w:rPr>
                <w:rFonts w:ascii="Arial" w:eastAsia="楷体_GB2312" w:hAnsi="Arial" w:cs="楷体_GB2312" w:hint="eastAsia"/>
                <w:color w:val="000000"/>
                <w:sz w:val="20"/>
                <w:szCs w:val="20"/>
              </w:rPr>
              <w:t>董事、总裁</w:t>
            </w:r>
          </w:p>
        </w:tc>
        <w:tc>
          <w:tcPr>
            <w:tcW w:w="709" w:type="dxa"/>
            <w:vAlign w:val="center"/>
          </w:tcPr>
          <w:p w:rsidR="00DA0843" w:rsidRPr="008E719E" w:rsidRDefault="00DA0843" w:rsidP="00DE2C55">
            <w:pPr>
              <w:jc w:val="center"/>
              <w:rPr>
                <w:rFonts w:ascii="Arial" w:eastAsia="楷体_GB2312" w:hAnsi="Arial" w:cs="Times New Roman"/>
                <w:color w:val="000000"/>
                <w:sz w:val="20"/>
                <w:szCs w:val="20"/>
              </w:rPr>
            </w:pPr>
            <w:r w:rsidRPr="008E719E">
              <w:rPr>
                <w:rFonts w:ascii="Arial" w:eastAsia="楷体_GB2312" w:hAnsi="Arial" w:cs="楷体_GB2312" w:hint="eastAsia"/>
                <w:color w:val="000000"/>
                <w:sz w:val="20"/>
                <w:szCs w:val="20"/>
              </w:rPr>
              <w:t>男</w:t>
            </w:r>
          </w:p>
        </w:tc>
        <w:tc>
          <w:tcPr>
            <w:tcW w:w="1417" w:type="dxa"/>
            <w:noWrap/>
            <w:vAlign w:val="center"/>
          </w:tcPr>
          <w:p w:rsidR="00DA0843" w:rsidRPr="008E719E" w:rsidRDefault="00DA0843" w:rsidP="00DE2C55">
            <w:pPr>
              <w:jc w:val="center"/>
              <w:rPr>
                <w:rFonts w:ascii="Arial" w:eastAsia="楷体_GB2312" w:hAnsi="Arial" w:cs="Arial"/>
                <w:color w:val="000000"/>
                <w:sz w:val="20"/>
                <w:szCs w:val="20"/>
              </w:rPr>
            </w:pPr>
            <w:r w:rsidRPr="008E719E">
              <w:rPr>
                <w:rFonts w:ascii="Arial" w:eastAsia="楷体_GB2312" w:hAnsi="Arial" w:cs="Arial"/>
                <w:color w:val="000000"/>
                <w:sz w:val="20"/>
                <w:szCs w:val="20"/>
              </w:rPr>
              <w:t xml:space="preserve">247.15 </w:t>
            </w:r>
          </w:p>
        </w:tc>
      </w:tr>
      <w:tr w:rsidR="00DA0843" w:rsidRPr="00035403">
        <w:trPr>
          <w:trHeight w:val="360"/>
        </w:trPr>
        <w:tc>
          <w:tcPr>
            <w:tcW w:w="993" w:type="dxa"/>
            <w:noWrap/>
            <w:vAlign w:val="center"/>
          </w:tcPr>
          <w:p w:rsidR="00DA0843" w:rsidRPr="008E719E" w:rsidRDefault="00DA0843" w:rsidP="00DE2C55">
            <w:pPr>
              <w:jc w:val="center"/>
              <w:rPr>
                <w:rFonts w:ascii="Arial" w:eastAsia="楷体_GB2312" w:hAnsi="Arial" w:cs="Arial"/>
                <w:color w:val="000000"/>
                <w:sz w:val="20"/>
                <w:szCs w:val="20"/>
              </w:rPr>
            </w:pPr>
            <w:r w:rsidRPr="008E719E">
              <w:rPr>
                <w:rFonts w:ascii="Arial" w:eastAsia="楷体_GB2312" w:hAnsi="Arial" w:cs="Arial"/>
                <w:color w:val="000000"/>
                <w:sz w:val="20"/>
                <w:szCs w:val="20"/>
              </w:rPr>
              <w:t>900950</w:t>
            </w:r>
          </w:p>
        </w:tc>
        <w:tc>
          <w:tcPr>
            <w:tcW w:w="1134" w:type="dxa"/>
            <w:noWrap/>
            <w:vAlign w:val="center"/>
          </w:tcPr>
          <w:p w:rsidR="00DA0843" w:rsidRPr="008E719E" w:rsidRDefault="00DA0843" w:rsidP="00DE2C55">
            <w:pPr>
              <w:jc w:val="center"/>
              <w:rPr>
                <w:rFonts w:ascii="Arial" w:eastAsia="楷体_GB2312" w:hAnsi="Arial" w:cs="Times New Roman"/>
                <w:color w:val="000000"/>
                <w:sz w:val="20"/>
                <w:szCs w:val="20"/>
              </w:rPr>
            </w:pPr>
            <w:r w:rsidRPr="008E719E">
              <w:rPr>
                <w:rFonts w:ascii="Arial" w:eastAsia="楷体_GB2312" w:hAnsi="Arial" w:cs="楷体_GB2312" w:hint="eastAsia"/>
                <w:color w:val="000000"/>
                <w:sz w:val="20"/>
                <w:szCs w:val="20"/>
              </w:rPr>
              <w:t>新城</w:t>
            </w:r>
            <w:r w:rsidRPr="008E719E">
              <w:rPr>
                <w:rFonts w:ascii="Arial" w:eastAsia="楷体_GB2312" w:hAnsi="Arial" w:cs="Arial"/>
                <w:color w:val="000000"/>
                <w:sz w:val="20"/>
                <w:szCs w:val="20"/>
              </w:rPr>
              <w:t>B</w:t>
            </w:r>
            <w:r w:rsidRPr="008E719E">
              <w:rPr>
                <w:rFonts w:ascii="Arial" w:eastAsia="楷体_GB2312" w:hAnsi="Arial" w:cs="楷体_GB2312" w:hint="eastAsia"/>
                <w:color w:val="000000"/>
                <w:sz w:val="20"/>
                <w:szCs w:val="20"/>
              </w:rPr>
              <w:t>股</w:t>
            </w:r>
          </w:p>
        </w:tc>
        <w:tc>
          <w:tcPr>
            <w:tcW w:w="1701" w:type="dxa"/>
            <w:vAlign w:val="center"/>
          </w:tcPr>
          <w:p w:rsidR="00DA0843" w:rsidRPr="008E719E" w:rsidRDefault="00DA0843" w:rsidP="00DE2C55">
            <w:pPr>
              <w:jc w:val="center"/>
              <w:rPr>
                <w:rFonts w:ascii="Arial" w:eastAsia="楷体_GB2312" w:hAnsi="Arial" w:cs="Times New Roman"/>
                <w:color w:val="000000"/>
                <w:sz w:val="20"/>
                <w:szCs w:val="20"/>
              </w:rPr>
            </w:pPr>
            <w:r w:rsidRPr="008E719E">
              <w:rPr>
                <w:rFonts w:ascii="Arial" w:eastAsia="楷体_GB2312" w:hAnsi="Arial" w:cs="楷体_GB2312" w:hint="eastAsia"/>
                <w:color w:val="000000"/>
                <w:sz w:val="20"/>
                <w:szCs w:val="20"/>
              </w:rPr>
              <w:t>房地产业</w:t>
            </w:r>
          </w:p>
        </w:tc>
        <w:tc>
          <w:tcPr>
            <w:tcW w:w="992" w:type="dxa"/>
            <w:vAlign w:val="center"/>
          </w:tcPr>
          <w:p w:rsidR="00DA0843" w:rsidRPr="008E719E" w:rsidRDefault="00DA0843" w:rsidP="00DE2C55">
            <w:pPr>
              <w:jc w:val="center"/>
              <w:rPr>
                <w:rFonts w:ascii="楷体_GB2312" w:eastAsia="楷体_GB2312" w:hAnsi="Arial" w:cs="Times New Roman"/>
                <w:color w:val="000000"/>
                <w:sz w:val="20"/>
                <w:szCs w:val="20"/>
              </w:rPr>
            </w:pPr>
            <w:r w:rsidRPr="008E719E">
              <w:rPr>
                <w:rFonts w:ascii="楷体_GB2312" w:eastAsia="楷体_GB2312" w:hAnsi="Arial" w:cs="楷体_GB2312" w:hint="eastAsia"/>
                <w:color w:val="000000"/>
                <w:sz w:val="20"/>
                <w:szCs w:val="20"/>
              </w:rPr>
              <w:t>非国有</w:t>
            </w:r>
          </w:p>
        </w:tc>
        <w:tc>
          <w:tcPr>
            <w:tcW w:w="992" w:type="dxa"/>
            <w:noWrap/>
            <w:vAlign w:val="center"/>
          </w:tcPr>
          <w:p w:rsidR="00DA0843" w:rsidRPr="008E719E" w:rsidRDefault="00DA0843" w:rsidP="00DE2C55">
            <w:pPr>
              <w:jc w:val="center"/>
              <w:rPr>
                <w:rFonts w:ascii="Arial" w:eastAsia="楷体_GB2312" w:hAnsi="Arial" w:cs="Times New Roman"/>
                <w:color w:val="000000"/>
                <w:sz w:val="20"/>
                <w:szCs w:val="20"/>
              </w:rPr>
            </w:pPr>
            <w:r w:rsidRPr="008E719E">
              <w:rPr>
                <w:rFonts w:ascii="Arial" w:eastAsia="楷体_GB2312" w:hAnsi="Arial" w:cs="楷体_GB2312" w:hint="eastAsia"/>
                <w:color w:val="000000"/>
                <w:sz w:val="20"/>
                <w:szCs w:val="20"/>
              </w:rPr>
              <w:t>吕小平</w:t>
            </w:r>
          </w:p>
        </w:tc>
        <w:tc>
          <w:tcPr>
            <w:tcW w:w="1843" w:type="dxa"/>
            <w:noWrap/>
            <w:vAlign w:val="center"/>
          </w:tcPr>
          <w:p w:rsidR="00DA0843" w:rsidRPr="008E719E" w:rsidRDefault="00DA0843" w:rsidP="00DE2C55">
            <w:pPr>
              <w:jc w:val="center"/>
              <w:rPr>
                <w:rFonts w:ascii="Arial" w:eastAsia="楷体_GB2312" w:hAnsi="Arial" w:cs="Times New Roman"/>
                <w:color w:val="000000"/>
                <w:sz w:val="20"/>
                <w:szCs w:val="20"/>
              </w:rPr>
            </w:pPr>
            <w:r w:rsidRPr="008E719E">
              <w:rPr>
                <w:rFonts w:ascii="Arial" w:eastAsia="楷体_GB2312" w:hAnsi="Arial" w:cs="楷体_GB2312" w:hint="eastAsia"/>
                <w:color w:val="000000"/>
                <w:sz w:val="20"/>
                <w:szCs w:val="20"/>
              </w:rPr>
              <w:t>董事、总裁</w:t>
            </w:r>
          </w:p>
        </w:tc>
        <w:tc>
          <w:tcPr>
            <w:tcW w:w="709" w:type="dxa"/>
            <w:vAlign w:val="center"/>
          </w:tcPr>
          <w:p w:rsidR="00DA0843" w:rsidRPr="008E719E" w:rsidRDefault="00DA0843" w:rsidP="00DE2C55">
            <w:pPr>
              <w:jc w:val="center"/>
              <w:rPr>
                <w:rFonts w:ascii="Arial" w:eastAsia="楷体_GB2312" w:hAnsi="Arial" w:cs="Times New Roman"/>
                <w:color w:val="000000"/>
                <w:sz w:val="20"/>
                <w:szCs w:val="20"/>
              </w:rPr>
            </w:pPr>
            <w:r w:rsidRPr="008E719E">
              <w:rPr>
                <w:rFonts w:ascii="Arial" w:eastAsia="楷体_GB2312" w:hAnsi="Arial" w:cs="楷体_GB2312" w:hint="eastAsia"/>
                <w:color w:val="000000"/>
                <w:sz w:val="20"/>
                <w:szCs w:val="20"/>
              </w:rPr>
              <w:t>男</w:t>
            </w:r>
          </w:p>
        </w:tc>
        <w:tc>
          <w:tcPr>
            <w:tcW w:w="1417" w:type="dxa"/>
            <w:noWrap/>
            <w:vAlign w:val="center"/>
          </w:tcPr>
          <w:p w:rsidR="00DA0843" w:rsidRPr="008E719E" w:rsidRDefault="00DA0843" w:rsidP="00DE2C55">
            <w:pPr>
              <w:jc w:val="center"/>
              <w:rPr>
                <w:rFonts w:ascii="Arial" w:eastAsia="楷体_GB2312" w:hAnsi="Arial" w:cs="Arial"/>
                <w:color w:val="000000"/>
                <w:sz w:val="20"/>
                <w:szCs w:val="20"/>
              </w:rPr>
            </w:pPr>
            <w:r w:rsidRPr="008E719E">
              <w:rPr>
                <w:rFonts w:ascii="Arial" w:eastAsia="楷体_GB2312" w:hAnsi="Arial" w:cs="Arial"/>
                <w:color w:val="000000"/>
                <w:sz w:val="20"/>
                <w:szCs w:val="20"/>
              </w:rPr>
              <w:t xml:space="preserve">240.00 </w:t>
            </w:r>
          </w:p>
        </w:tc>
      </w:tr>
      <w:tr w:rsidR="00DA0843" w:rsidRPr="00035403">
        <w:trPr>
          <w:trHeight w:val="360"/>
        </w:trPr>
        <w:tc>
          <w:tcPr>
            <w:tcW w:w="993" w:type="dxa"/>
            <w:noWrap/>
            <w:vAlign w:val="center"/>
          </w:tcPr>
          <w:p w:rsidR="00DA0843" w:rsidRPr="008E719E" w:rsidRDefault="00DA0843" w:rsidP="00DE2C55">
            <w:pPr>
              <w:jc w:val="center"/>
              <w:rPr>
                <w:rFonts w:ascii="Arial" w:eastAsia="楷体_GB2312" w:hAnsi="Arial" w:cs="Arial"/>
                <w:color w:val="000000"/>
                <w:sz w:val="20"/>
                <w:szCs w:val="20"/>
              </w:rPr>
            </w:pPr>
            <w:r w:rsidRPr="008E719E">
              <w:rPr>
                <w:rFonts w:ascii="Arial" w:eastAsia="楷体_GB2312" w:hAnsi="Arial" w:cs="Arial"/>
                <w:color w:val="000000"/>
                <w:sz w:val="20"/>
                <w:szCs w:val="20"/>
              </w:rPr>
              <w:t>000418</w:t>
            </w:r>
          </w:p>
        </w:tc>
        <w:tc>
          <w:tcPr>
            <w:tcW w:w="1134" w:type="dxa"/>
            <w:noWrap/>
            <w:vAlign w:val="center"/>
          </w:tcPr>
          <w:p w:rsidR="00DA0843" w:rsidRPr="008E719E" w:rsidRDefault="00DA0843" w:rsidP="00DE2C55">
            <w:pPr>
              <w:jc w:val="center"/>
              <w:rPr>
                <w:rFonts w:ascii="Arial" w:eastAsia="楷体_GB2312" w:hAnsi="Arial" w:cs="Arial"/>
                <w:color w:val="000000"/>
                <w:sz w:val="20"/>
                <w:szCs w:val="20"/>
              </w:rPr>
            </w:pPr>
            <w:r w:rsidRPr="008E719E">
              <w:rPr>
                <w:rFonts w:ascii="Arial" w:eastAsia="楷体_GB2312" w:hAnsi="Arial" w:cs="楷体_GB2312" w:hint="eastAsia"/>
                <w:color w:val="000000"/>
                <w:sz w:val="20"/>
                <w:szCs w:val="20"/>
              </w:rPr>
              <w:t>小天鹅</w:t>
            </w:r>
            <w:r w:rsidRPr="008E719E">
              <w:rPr>
                <w:rFonts w:ascii="Arial" w:eastAsia="楷体_GB2312" w:hAnsi="Arial" w:cs="Arial"/>
                <w:color w:val="000000"/>
                <w:sz w:val="20"/>
                <w:szCs w:val="20"/>
              </w:rPr>
              <w:t>A</w:t>
            </w:r>
          </w:p>
        </w:tc>
        <w:tc>
          <w:tcPr>
            <w:tcW w:w="1701" w:type="dxa"/>
            <w:vAlign w:val="center"/>
          </w:tcPr>
          <w:p w:rsidR="00DA0843" w:rsidRPr="008E719E" w:rsidRDefault="00DA0843" w:rsidP="00DE2C55">
            <w:pPr>
              <w:jc w:val="center"/>
              <w:rPr>
                <w:rFonts w:ascii="Arial" w:eastAsia="楷体_GB2312" w:hAnsi="Arial" w:cs="Times New Roman"/>
                <w:color w:val="000000"/>
                <w:sz w:val="20"/>
                <w:szCs w:val="20"/>
              </w:rPr>
            </w:pPr>
            <w:r w:rsidRPr="008E719E">
              <w:rPr>
                <w:rFonts w:ascii="Arial" w:eastAsia="楷体_GB2312" w:hAnsi="Arial" w:cs="楷体_GB2312" w:hint="eastAsia"/>
                <w:color w:val="000000"/>
                <w:sz w:val="20"/>
                <w:szCs w:val="20"/>
              </w:rPr>
              <w:t>制造业</w:t>
            </w:r>
          </w:p>
        </w:tc>
        <w:tc>
          <w:tcPr>
            <w:tcW w:w="992" w:type="dxa"/>
            <w:vAlign w:val="center"/>
          </w:tcPr>
          <w:p w:rsidR="00DA0843" w:rsidRPr="008E719E" w:rsidRDefault="00DA0843" w:rsidP="00DE2C55">
            <w:pPr>
              <w:jc w:val="center"/>
              <w:rPr>
                <w:rFonts w:ascii="楷体_GB2312" w:eastAsia="楷体_GB2312" w:hAnsi="Arial" w:cs="Times New Roman"/>
                <w:color w:val="000000"/>
                <w:sz w:val="20"/>
                <w:szCs w:val="20"/>
              </w:rPr>
            </w:pPr>
            <w:r w:rsidRPr="008E719E">
              <w:rPr>
                <w:rFonts w:ascii="楷体_GB2312" w:eastAsia="楷体_GB2312" w:hAnsi="Arial" w:cs="楷体_GB2312" w:hint="eastAsia"/>
                <w:color w:val="000000"/>
                <w:sz w:val="20"/>
                <w:szCs w:val="20"/>
              </w:rPr>
              <w:t>非国有</w:t>
            </w:r>
          </w:p>
        </w:tc>
        <w:tc>
          <w:tcPr>
            <w:tcW w:w="992" w:type="dxa"/>
            <w:noWrap/>
            <w:vAlign w:val="center"/>
          </w:tcPr>
          <w:p w:rsidR="00DA0843" w:rsidRPr="008E719E" w:rsidRDefault="00DA0843" w:rsidP="00DE2C55">
            <w:pPr>
              <w:jc w:val="center"/>
              <w:rPr>
                <w:rFonts w:ascii="Arial" w:eastAsia="楷体_GB2312" w:hAnsi="Arial" w:cs="Times New Roman"/>
                <w:color w:val="000000"/>
                <w:sz w:val="20"/>
                <w:szCs w:val="20"/>
              </w:rPr>
            </w:pPr>
            <w:r w:rsidRPr="008E719E">
              <w:rPr>
                <w:rFonts w:ascii="Arial" w:eastAsia="楷体_GB2312" w:hAnsi="Arial" w:cs="楷体_GB2312" w:hint="eastAsia"/>
                <w:color w:val="000000"/>
                <w:sz w:val="20"/>
                <w:szCs w:val="20"/>
              </w:rPr>
              <w:t>柴新建</w:t>
            </w:r>
          </w:p>
        </w:tc>
        <w:tc>
          <w:tcPr>
            <w:tcW w:w="1843" w:type="dxa"/>
            <w:noWrap/>
            <w:vAlign w:val="center"/>
          </w:tcPr>
          <w:p w:rsidR="00DA0843" w:rsidRPr="008E719E" w:rsidRDefault="00DA0843" w:rsidP="00DE2C55">
            <w:pPr>
              <w:jc w:val="center"/>
              <w:rPr>
                <w:rFonts w:ascii="Arial" w:eastAsia="楷体_GB2312" w:hAnsi="Arial" w:cs="Times New Roman"/>
                <w:color w:val="000000"/>
                <w:sz w:val="20"/>
                <w:szCs w:val="20"/>
              </w:rPr>
            </w:pPr>
            <w:r w:rsidRPr="008E719E">
              <w:rPr>
                <w:rFonts w:ascii="Arial" w:eastAsia="楷体_GB2312" w:hAnsi="Arial" w:cs="楷体_GB2312" w:hint="eastAsia"/>
                <w:color w:val="000000"/>
                <w:sz w:val="20"/>
                <w:szCs w:val="20"/>
              </w:rPr>
              <w:t>董事、总经理</w:t>
            </w:r>
          </w:p>
        </w:tc>
        <w:tc>
          <w:tcPr>
            <w:tcW w:w="709" w:type="dxa"/>
            <w:vAlign w:val="center"/>
          </w:tcPr>
          <w:p w:rsidR="00DA0843" w:rsidRPr="008E719E" w:rsidRDefault="00DA0843" w:rsidP="00DE2C55">
            <w:pPr>
              <w:jc w:val="center"/>
              <w:rPr>
                <w:rFonts w:ascii="Arial" w:eastAsia="楷体_GB2312" w:hAnsi="Arial" w:cs="Times New Roman"/>
                <w:color w:val="000000"/>
                <w:sz w:val="20"/>
                <w:szCs w:val="20"/>
              </w:rPr>
            </w:pPr>
            <w:r w:rsidRPr="008E719E">
              <w:rPr>
                <w:rFonts w:ascii="Arial" w:eastAsia="楷体_GB2312" w:hAnsi="Arial" w:cs="楷体_GB2312" w:hint="eastAsia"/>
                <w:color w:val="000000"/>
                <w:sz w:val="20"/>
                <w:szCs w:val="20"/>
              </w:rPr>
              <w:t>男</w:t>
            </w:r>
          </w:p>
        </w:tc>
        <w:tc>
          <w:tcPr>
            <w:tcW w:w="1417" w:type="dxa"/>
            <w:noWrap/>
            <w:vAlign w:val="center"/>
          </w:tcPr>
          <w:p w:rsidR="00DA0843" w:rsidRPr="008E719E" w:rsidRDefault="00DA0843" w:rsidP="00DE2C55">
            <w:pPr>
              <w:jc w:val="center"/>
              <w:rPr>
                <w:rFonts w:ascii="Arial" w:eastAsia="楷体_GB2312" w:hAnsi="Arial" w:cs="Arial"/>
                <w:color w:val="000000"/>
                <w:sz w:val="20"/>
                <w:szCs w:val="20"/>
              </w:rPr>
            </w:pPr>
            <w:r w:rsidRPr="008E719E">
              <w:rPr>
                <w:rFonts w:ascii="Arial" w:eastAsia="楷体_GB2312" w:hAnsi="Arial" w:cs="Arial"/>
                <w:color w:val="000000"/>
                <w:sz w:val="20"/>
                <w:szCs w:val="20"/>
              </w:rPr>
              <w:t xml:space="preserve">205.00 </w:t>
            </w:r>
          </w:p>
        </w:tc>
      </w:tr>
      <w:tr w:rsidR="00DA0843" w:rsidRPr="00035403">
        <w:trPr>
          <w:trHeight w:val="360"/>
        </w:trPr>
        <w:tc>
          <w:tcPr>
            <w:tcW w:w="993" w:type="dxa"/>
            <w:noWrap/>
            <w:vAlign w:val="center"/>
          </w:tcPr>
          <w:p w:rsidR="00DA0843" w:rsidRPr="008E719E" w:rsidRDefault="00DA0843" w:rsidP="00DE2C55">
            <w:pPr>
              <w:jc w:val="center"/>
              <w:rPr>
                <w:rFonts w:ascii="Arial" w:eastAsia="楷体_GB2312" w:hAnsi="Arial" w:cs="Arial"/>
                <w:color w:val="000000"/>
                <w:sz w:val="20"/>
                <w:szCs w:val="20"/>
              </w:rPr>
            </w:pPr>
            <w:r w:rsidRPr="008E719E">
              <w:rPr>
                <w:rFonts w:ascii="Arial" w:eastAsia="楷体_GB2312" w:hAnsi="Arial" w:cs="Arial"/>
                <w:color w:val="000000"/>
                <w:sz w:val="20"/>
                <w:szCs w:val="20"/>
              </w:rPr>
              <w:t>601555</w:t>
            </w:r>
          </w:p>
        </w:tc>
        <w:tc>
          <w:tcPr>
            <w:tcW w:w="1134" w:type="dxa"/>
            <w:noWrap/>
            <w:vAlign w:val="center"/>
          </w:tcPr>
          <w:p w:rsidR="00DA0843" w:rsidRPr="008E719E" w:rsidRDefault="00DA0843" w:rsidP="00DE2C55">
            <w:pPr>
              <w:jc w:val="center"/>
              <w:rPr>
                <w:rFonts w:ascii="Arial" w:eastAsia="楷体_GB2312" w:hAnsi="Arial" w:cs="Times New Roman"/>
                <w:color w:val="000000"/>
                <w:sz w:val="20"/>
                <w:szCs w:val="20"/>
              </w:rPr>
            </w:pPr>
            <w:r w:rsidRPr="008E719E">
              <w:rPr>
                <w:rFonts w:ascii="Arial" w:eastAsia="楷体_GB2312" w:hAnsi="Arial" w:cs="楷体_GB2312" w:hint="eastAsia"/>
                <w:color w:val="000000"/>
                <w:sz w:val="20"/>
                <w:szCs w:val="20"/>
              </w:rPr>
              <w:t>东吴证券</w:t>
            </w:r>
          </w:p>
        </w:tc>
        <w:tc>
          <w:tcPr>
            <w:tcW w:w="1701" w:type="dxa"/>
            <w:vAlign w:val="center"/>
          </w:tcPr>
          <w:p w:rsidR="00DA0843" w:rsidRPr="008E719E" w:rsidRDefault="00DA0843" w:rsidP="00DE2C55">
            <w:pPr>
              <w:jc w:val="center"/>
              <w:rPr>
                <w:rFonts w:ascii="Arial" w:eastAsia="楷体_GB2312" w:hAnsi="Arial" w:cs="Times New Roman"/>
                <w:color w:val="000000"/>
                <w:sz w:val="20"/>
                <w:szCs w:val="20"/>
              </w:rPr>
            </w:pPr>
            <w:r w:rsidRPr="008E719E">
              <w:rPr>
                <w:rFonts w:ascii="Arial" w:eastAsia="楷体_GB2312" w:hAnsi="Arial" w:cs="楷体_GB2312" w:hint="eastAsia"/>
                <w:color w:val="000000"/>
                <w:sz w:val="20"/>
                <w:szCs w:val="20"/>
              </w:rPr>
              <w:t>金融、保险业</w:t>
            </w:r>
          </w:p>
        </w:tc>
        <w:tc>
          <w:tcPr>
            <w:tcW w:w="992" w:type="dxa"/>
            <w:vAlign w:val="center"/>
          </w:tcPr>
          <w:p w:rsidR="00DA0843" w:rsidRPr="008E719E" w:rsidRDefault="00DA0843" w:rsidP="00DE2C55">
            <w:pPr>
              <w:jc w:val="center"/>
              <w:rPr>
                <w:rFonts w:ascii="楷体_GB2312" w:eastAsia="楷体_GB2312" w:hAnsi="Arial" w:cs="Times New Roman"/>
                <w:color w:val="000000"/>
                <w:sz w:val="20"/>
                <w:szCs w:val="20"/>
              </w:rPr>
            </w:pPr>
            <w:r w:rsidRPr="008E719E">
              <w:rPr>
                <w:rFonts w:ascii="楷体_GB2312" w:eastAsia="楷体_GB2312" w:hAnsi="Arial" w:cs="楷体_GB2312" w:hint="eastAsia"/>
                <w:color w:val="000000"/>
                <w:sz w:val="20"/>
                <w:szCs w:val="20"/>
              </w:rPr>
              <w:t>国有</w:t>
            </w:r>
          </w:p>
        </w:tc>
        <w:tc>
          <w:tcPr>
            <w:tcW w:w="992" w:type="dxa"/>
            <w:noWrap/>
            <w:vAlign w:val="center"/>
          </w:tcPr>
          <w:p w:rsidR="00DA0843" w:rsidRPr="008E719E" w:rsidRDefault="00DA0843" w:rsidP="00DE2C55">
            <w:pPr>
              <w:jc w:val="center"/>
              <w:rPr>
                <w:rFonts w:ascii="Arial" w:eastAsia="楷体_GB2312" w:hAnsi="Arial" w:cs="Times New Roman"/>
                <w:color w:val="000000"/>
                <w:sz w:val="20"/>
                <w:szCs w:val="20"/>
              </w:rPr>
            </w:pPr>
            <w:r w:rsidRPr="008E719E">
              <w:rPr>
                <w:rFonts w:ascii="Arial" w:eastAsia="楷体_GB2312" w:hAnsi="Arial" w:cs="楷体_GB2312" w:hint="eastAsia"/>
                <w:color w:val="000000"/>
                <w:sz w:val="20"/>
                <w:szCs w:val="20"/>
              </w:rPr>
              <w:t>范力</w:t>
            </w:r>
          </w:p>
        </w:tc>
        <w:tc>
          <w:tcPr>
            <w:tcW w:w="1843" w:type="dxa"/>
            <w:noWrap/>
            <w:vAlign w:val="center"/>
          </w:tcPr>
          <w:p w:rsidR="00DA0843" w:rsidRPr="008E719E" w:rsidRDefault="00DA0843" w:rsidP="00DE2C55">
            <w:pPr>
              <w:jc w:val="center"/>
              <w:rPr>
                <w:rFonts w:ascii="Arial" w:eastAsia="楷体_GB2312" w:hAnsi="Arial" w:cs="Times New Roman"/>
                <w:color w:val="000000"/>
                <w:sz w:val="20"/>
                <w:szCs w:val="20"/>
              </w:rPr>
            </w:pPr>
            <w:r w:rsidRPr="008E719E">
              <w:rPr>
                <w:rFonts w:ascii="Arial" w:eastAsia="楷体_GB2312" w:hAnsi="Arial" w:cs="楷体_GB2312" w:hint="eastAsia"/>
                <w:color w:val="000000"/>
                <w:sz w:val="20"/>
                <w:szCs w:val="20"/>
              </w:rPr>
              <w:t>董事、总裁</w:t>
            </w:r>
          </w:p>
        </w:tc>
        <w:tc>
          <w:tcPr>
            <w:tcW w:w="709" w:type="dxa"/>
            <w:vAlign w:val="center"/>
          </w:tcPr>
          <w:p w:rsidR="00DA0843" w:rsidRPr="008E719E" w:rsidRDefault="00DA0843" w:rsidP="00DE2C55">
            <w:pPr>
              <w:jc w:val="center"/>
              <w:rPr>
                <w:rFonts w:ascii="Arial" w:eastAsia="楷体_GB2312" w:hAnsi="Arial" w:cs="Times New Roman"/>
                <w:color w:val="000000"/>
                <w:sz w:val="20"/>
                <w:szCs w:val="20"/>
              </w:rPr>
            </w:pPr>
            <w:r w:rsidRPr="008E719E">
              <w:rPr>
                <w:rFonts w:ascii="Arial" w:eastAsia="楷体_GB2312" w:hAnsi="Arial" w:cs="楷体_GB2312" w:hint="eastAsia"/>
                <w:color w:val="000000"/>
                <w:sz w:val="20"/>
                <w:szCs w:val="20"/>
              </w:rPr>
              <w:t>男</w:t>
            </w:r>
          </w:p>
        </w:tc>
        <w:tc>
          <w:tcPr>
            <w:tcW w:w="1417" w:type="dxa"/>
            <w:vAlign w:val="center"/>
          </w:tcPr>
          <w:p w:rsidR="00DA0843" w:rsidRPr="008E719E" w:rsidRDefault="00DA0843" w:rsidP="00DE2C55">
            <w:pPr>
              <w:jc w:val="center"/>
              <w:rPr>
                <w:rFonts w:ascii="Arial" w:eastAsia="楷体_GB2312" w:hAnsi="Arial" w:cs="Arial"/>
                <w:color w:val="000000"/>
                <w:sz w:val="20"/>
                <w:szCs w:val="20"/>
              </w:rPr>
            </w:pPr>
            <w:r w:rsidRPr="008E719E">
              <w:rPr>
                <w:rFonts w:ascii="Arial" w:eastAsia="楷体_GB2312" w:hAnsi="Arial" w:cs="Arial"/>
                <w:color w:val="000000"/>
                <w:sz w:val="20"/>
                <w:szCs w:val="20"/>
              </w:rPr>
              <w:t xml:space="preserve">198.00 </w:t>
            </w:r>
          </w:p>
        </w:tc>
      </w:tr>
      <w:tr w:rsidR="00DA0843" w:rsidRPr="00035403">
        <w:trPr>
          <w:trHeight w:val="360"/>
        </w:trPr>
        <w:tc>
          <w:tcPr>
            <w:tcW w:w="993" w:type="dxa"/>
            <w:noWrap/>
            <w:vAlign w:val="center"/>
          </w:tcPr>
          <w:p w:rsidR="00DA0843" w:rsidRPr="008E719E" w:rsidRDefault="00DA0843" w:rsidP="00DE2C55">
            <w:pPr>
              <w:jc w:val="center"/>
              <w:rPr>
                <w:rFonts w:ascii="Arial" w:eastAsia="楷体_GB2312" w:hAnsi="Arial" w:cs="Arial"/>
                <w:color w:val="000000"/>
                <w:sz w:val="20"/>
                <w:szCs w:val="20"/>
              </w:rPr>
            </w:pPr>
            <w:r w:rsidRPr="008E719E">
              <w:rPr>
                <w:rFonts w:ascii="Arial" w:eastAsia="楷体_GB2312" w:hAnsi="Arial" w:cs="Arial"/>
                <w:color w:val="000000"/>
                <w:sz w:val="20"/>
                <w:szCs w:val="20"/>
              </w:rPr>
              <w:t>300346</w:t>
            </w:r>
          </w:p>
        </w:tc>
        <w:tc>
          <w:tcPr>
            <w:tcW w:w="1134" w:type="dxa"/>
            <w:noWrap/>
            <w:vAlign w:val="center"/>
          </w:tcPr>
          <w:p w:rsidR="00DA0843" w:rsidRPr="008E719E" w:rsidRDefault="00DA0843" w:rsidP="00DE2C55">
            <w:pPr>
              <w:jc w:val="center"/>
              <w:rPr>
                <w:rFonts w:ascii="Arial" w:eastAsia="楷体_GB2312" w:hAnsi="Arial" w:cs="Times New Roman"/>
                <w:color w:val="000000"/>
                <w:sz w:val="20"/>
                <w:szCs w:val="20"/>
              </w:rPr>
            </w:pPr>
            <w:r w:rsidRPr="008E719E">
              <w:rPr>
                <w:rFonts w:ascii="Arial" w:eastAsia="楷体_GB2312" w:hAnsi="Arial" w:cs="楷体_GB2312" w:hint="eastAsia"/>
                <w:color w:val="000000"/>
                <w:sz w:val="20"/>
                <w:szCs w:val="20"/>
              </w:rPr>
              <w:t>南大光电</w:t>
            </w:r>
          </w:p>
        </w:tc>
        <w:tc>
          <w:tcPr>
            <w:tcW w:w="1701" w:type="dxa"/>
            <w:vAlign w:val="center"/>
          </w:tcPr>
          <w:p w:rsidR="00DA0843" w:rsidRPr="008E719E" w:rsidRDefault="00DA0843" w:rsidP="00DE2C55">
            <w:pPr>
              <w:jc w:val="center"/>
              <w:rPr>
                <w:rFonts w:ascii="Arial" w:eastAsia="楷体_GB2312" w:hAnsi="Arial" w:cs="Times New Roman"/>
                <w:color w:val="000000"/>
                <w:sz w:val="20"/>
                <w:szCs w:val="20"/>
              </w:rPr>
            </w:pPr>
            <w:r w:rsidRPr="008E719E">
              <w:rPr>
                <w:rFonts w:ascii="Arial" w:eastAsia="楷体_GB2312" w:hAnsi="Arial" w:cs="楷体_GB2312" w:hint="eastAsia"/>
                <w:color w:val="000000"/>
                <w:sz w:val="20"/>
                <w:szCs w:val="20"/>
              </w:rPr>
              <w:t>制造业</w:t>
            </w:r>
          </w:p>
        </w:tc>
        <w:tc>
          <w:tcPr>
            <w:tcW w:w="992" w:type="dxa"/>
            <w:vAlign w:val="center"/>
          </w:tcPr>
          <w:p w:rsidR="00DA0843" w:rsidRPr="008E719E" w:rsidRDefault="00DA0843" w:rsidP="00DE2C55">
            <w:pPr>
              <w:jc w:val="center"/>
              <w:rPr>
                <w:rFonts w:ascii="楷体_GB2312" w:eastAsia="楷体_GB2312" w:hAnsi="Arial" w:cs="Times New Roman"/>
                <w:color w:val="000000"/>
                <w:sz w:val="20"/>
                <w:szCs w:val="20"/>
              </w:rPr>
            </w:pPr>
            <w:r w:rsidRPr="008E719E">
              <w:rPr>
                <w:rFonts w:ascii="楷体_GB2312" w:eastAsia="楷体_GB2312" w:hAnsi="Arial" w:cs="楷体_GB2312" w:hint="eastAsia"/>
                <w:color w:val="000000"/>
                <w:sz w:val="20"/>
                <w:szCs w:val="20"/>
              </w:rPr>
              <w:t>非国有</w:t>
            </w:r>
          </w:p>
        </w:tc>
        <w:tc>
          <w:tcPr>
            <w:tcW w:w="992" w:type="dxa"/>
            <w:vAlign w:val="center"/>
          </w:tcPr>
          <w:p w:rsidR="00DA0843" w:rsidRPr="008E719E" w:rsidRDefault="00DA0843" w:rsidP="00DE2C55">
            <w:pPr>
              <w:jc w:val="center"/>
              <w:rPr>
                <w:rFonts w:ascii="Arial" w:eastAsia="楷体_GB2312" w:hAnsi="Arial" w:cs="Times New Roman"/>
                <w:color w:val="000000"/>
                <w:sz w:val="20"/>
                <w:szCs w:val="20"/>
              </w:rPr>
            </w:pPr>
            <w:r w:rsidRPr="008E719E">
              <w:rPr>
                <w:rFonts w:ascii="Arial" w:eastAsia="楷体_GB2312" w:hAnsi="Arial" w:cs="楷体_GB2312" w:hint="eastAsia"/>
                <w:color w:val="000000"/>
                <w:sz w:val="20"/>
                <w:szCs w:val="20"/>
              </w:rPr>
              <w:t>李建华</w:t>
            </w:r>
          </w:p>
        </w:tc>
        <w:tc>
          <w:tcPr>
            <w:tcW w:w="1843" w:type="dxa"/>
            <w:vAlign w:val="center"/>
          </w:tcPr>
          <w:p w:rsidR="00DA0843" w:rsidRPr="008E719E" w:rsidRDefault="00DA0843" w:rsidP="00DE2C55">
            <w:pPr>
              <w:jc w:val="center"/>
              <w:rPr>
                <w:rFonts w:ascii="Arial" w:eastAsia="楷体_GB2312" w:hAnsi="Arial" w:cs="Times New Roman"/>
                <w:color w:val="000000"/>
                <w:sz w:val="20"/>
                <w:szCs w:val="20"/>
              </w:rPr>
            </w:pPr>
            <w:r w:rsidRPr="008E719E">
              <w:rPr>
                <w:rFonts w:ascii="Arial" w:eastAsia="楷体_GB2312" w:hAnsi="Arial" w:cs="楷体_GB2312" w:hint="eastAsia"/>
                <w:color w:val="000000"/>
                <w:sz w:val="20"/>
                <w:szCs w:val="20"/>
              </w:rPr>
              <w:t>总经理</w:t>
            </w:r>
          </w:p>
        </w:tc>
        <w:tc>
          <w:tcPr>
            <w:tcW w:w="709" w:type="dxa"/>
            <w:vAlign w:val="center"/>
          </w:tcPr>
          <w:p w:rsidR="00DA0843" w:rsidRPr="008E719E" w:rsidRDefault="00DA0843" w:rsidP="00DE2C55">
            <w:pPr>
              <w:jc w:val="center"/>
              <w:rPr>
                <w:rFonts w:ascii="Arial" w:eastAsia="楷体_GB2312" w:hAnsi="Arial" w:cs="Times New Roman"/>
                <w:color w:val="000000"/>
                <w:sz w:val="20"/>
                <w:szCs w:val="20"/>
              </w:rPr>
            </w:pPr>
            <w:r w:rsidRPr="008E719E">
              <w:rPr>
                <w:rFonts w:ascii="Arial" w:eastAsia="楷体_GB2312" w:hAnsi="Arial" w:cs="楷体_GB2312" w:hint="eastAsia"/>
                <w:color w:val="000000"/>
                <w:sz w:val="20"/>
                <w:szCs w:val="20"/>
              </w:rPr>
              <w:t>男</w:t>
            </w:r>
          </w:p>
        </w:tc>
        <w:tc>
          <w:tcPr>
            <w:tcW w:w="1417" w:type="dxa"/>
            <w:vAlign w:val="center"/>
          </w:tcPr>
          <w:p w:rsidR="00DA0843" w:rsidRPr="008E719E" w:rsidRDefault="00DA0843" w:rsidP="00DE2C55">
            <w:pPr>
              <w:jc w:val="center"/>
              <w:rPr>
                <w:rFonts w:ascii="Arial" w:eastAsia="楷体_GB2312" w:hAnsi="Arial" w:cs="Arial"/>
                <w:color w:val="000000"/>
                <w:sz w:val="20"/>
                <w:szCs w:val="20"/>
              </w:rPr>
            </w:pPr>
            <w:r w:rsidRPr="008E719E">
              <w:rPr>
                <w:rFonts w:ascii="Arial" w:eastAsia="楷体_GB2312" w:hAnsi="Arial" w:cs="Arial"/>
                <w:color w:val="000000"/>
                <w:sz w:val="20"/>
                <w:szCs w:val="20"/>
              </w:rPr>
              <w:t xml:space="preserve">195.10 </w:t>
            </w:r>
          </w:p>
        </w:tc>
      </w:tr>
      <w:tr w:rsidR="00DA0843" w:rsidRPr="00035403">
        <w:trPr>
          <w:trHeight w:val="360"/>
        </w:trPr>
        <w:tc>
          <w:tcPr>
            <w:tcW w:w="993" w:type="dxa"/>
            <w:noWrap/>
            <w:vAlign w:val="center"/>
          </w:tcPr>
          <w:p w:rsidR="00DA0843" w:rsidRPr="008E719E" w:rsidRDefault="00DA0843" w:rsidP="00DE2C55">
            <w:pPr>
              <w:jc w:val="center"/>
              <w:rPr>
                <w:rFonts w:ascii="Arial" w:eastAsia="楷体_GB2312" w:hAnsi="Arial" w:cs="Arial"/>
                <w:color w:val="000000"/>
                <w:sz w:val="20"/>
                <w:szCs w:val="20"/>
              </w:rPr>
            </w:pPr>
            <w:r w:rsidRPr="008E719E">
              <w:rPr>
                <w:rFonts w:ascii="Arial" w:eastAsia="楷体_GB2312" w:hAnsi="Arial" w:cs="Arial"/>
                <w:color w:val="000000"/>
                <w:sz w:val="20"/>
                <w:szCs w:val="20"/>
              </w:rPr>
              <w:t>300295</w:t>
            </w:r>
          </w:p>
        </w:tc>
        <w:tc>
          <w:tcPr>
            <w:tcW w:w="1134" w:type="dxa"/>
            <w:noWrap/>
            <w:vAlign w:val="center"/>
          </w:tcPr>
          <w:p w:rsidR="00DA0843" w:rsidRPr="008E719E" w:rsidRDefault="00DA0843" w:rsidP="00DE2C55">
            <w:pPr>
              <w:jc w:val="center"/>
              <w:rPr>
                <w:rFonts w:ascii="Arial" w:eastAsia="楷体_GB2312" w:hAnsi="Arial" w:cs="Times New Roman"/>
                <w:color w:val="000000"/>
                <w:sz w:val="20"/>
                <w:szCs w:val="20"/>
              </w:rPr>
            </w:pPr>
            <w:r w:rsidRPr="008E719E">
              <w:rPr>
                <w:rFonts w:ascii="Arial" w:eastAsia="楷体_GB2312" w:hAnsi="Arial" w:cs="楷体_GB2312" w:hint="eastAsia"/>
                <w:color w:val="000000"/>
                <w:sz w:val="20"/>
                <w:szCs w:val="20"/>
              </w:rPr>
              <w:t>三六五网</w:t>
            </w:r>
          </w:p>
        </w:tc>
        <w:tc>
          <w:tcPr>
            <w:tcW w:w="1701" w:type="dxa"/>
            <w:vAlign w:val="center"/>
          </w:tcPr>
          <w:p w:rsidR="00DA0843" w:rsidRPr="008E719E" w:rsidRDefault="00DA0843" w:rsidP="00DE2C55">
            <w:pPr>
              <w:jc w:val="center"/>
              <w:rPr>
                <w:rFonts w:ascii="Arial" w:eastAsia="楷体_GB2312" w:hAnsi="Arial" w:cs="Times New Roman"/>
                <w:color w:val="000000"/>
                <w:sz w:val="20"/>
                <w:szCs w:val="20"/>
              </w:rPr>
            </w:pPr>
            <w:r w:rsidRPr="008E719E">
              <w:rPr>
                <w:rFonts w:ascii="Arial" w:eastAsia="楷体_GB2312" w:hAnsi="Arial" w:cs="楷体_GB2312" w:hint="eastAsia"/>
                <w:color w:val="000000"/>
                <w:sz w:val="20"/>
                <w:szCs w:val="20"/>
              </w:rPr>
              <w:t>信息技术业</w:t>
            </w:r>
          </w:p>
        </w:tc>
        <w:tc>
          <w:tcPr>
            <w:tcW w:w="992" w:type="dxa"/>
            <w:vAlign w:val="center"/>
          </w:tcPr>
          <w:p w:rsidR="00DA0843" w:rsidRPr="008E719E" w:rsidRDefault="00DA0843" w:rsidP="00DE2C55">
            <w:pPr>
              <w:jc w:val="center"/>
              <w:rPr>
                <w:rFonts w:ascii="楷体_GB2312" w:eastAsia="楷体_GB2312" w:hAnsi="Arial" w:cs="Times New Roman"/>
                <w:color w:val="000000"/>
                <w:sz w:val="20"/>
                <w:szCs w:val="20"/>
              </w:rPr>
            </w:pPr>
            <w:r w:rsidRPr="008E719E">
              <w:rPr>
                <w:rFonts w:ascii="楷体_GB2312" w:eastAsia="楷体_GB2312" w:hAnsi="Arial" w:cs="楷体_GB2312" w:hint="eastAsia"/>
                <w:color w:val="000000"/>
                <w:sz w:val="20"/>
                <w:szCs w:val="20"/>
              </w:rPr>
              <w:t>非国有</w:t>
            </w:r>
          </w:p>
        </w:tc>
        <w:tc>
          <w:tcPr>
            <w:tcW w:w="992" w:type="dxa"/>
            <w:noWrap/>
            <w:vAlign w:val="center"/>
          </w:tcPr>
          <w:p w:rsidR="00DA0843" w:rsidRPr="008E719E" w:rsidRDefault="00DA0843" w:rsidP="00DE2C55">
            <w:pPr>
              <w:jc w:val="center"/>
              <w:rPr>
                <w:rFonts w:ascii="Arial" w:eastAsia="楷体_GB2312" w:hAnsi="Arial" w:cs="Times New Roman"/>
                <w:color w:val="000000"/>
                <w:sz w:val="20"/>
                <w:szCs w:val="20"/>
              </w:rPr>
            </w:pPr>
            <w:r w:rsidRPr="008E719E">
              <w:rPr>
                <w:rFonts w:ascii="Arial" w:eastAsia="楷体_GB2312" w:hAnsi="Arial" w:cs="楷体_GB2312" w:hint="eastAsia"/>
                <w:color w:val="000000"/>
                <w:sz w:val="20"/>
                <w:szCs w:val="20"/>
              </w:rPr>
              <w:t>邢炜</w:t>
            </w:r>
          </w:p>
        </w:tc>
        <w:tc>
          <w:tcPr>
            <w:tcW w:w="1843" w:type="dxa"/>
            <w:noWrap/>
            <w:vAlign w:val="center"/>
          </w:tcPr>
          <w:p w:rsidR="00DA0843" w:rsidRPr="008E719E" w:rsidRDefault="00DA0843" w:rsidP="00DE2C55">
            <w:pPr>
              <w:jc w:val="center"/>
              <w:rPr>
                <w:rFonts w:ascii="Arial" w:eastAsia="楷体_GB2312" w:hAnsi="Arial" w:cs="Times New Roman"/>
                <w:color w:val="000000"/>
                <w:sz w:val="20"/>
                <w:szCs w:val="20"/>
              </w:rPr>
            </w:pPr>
            <w:r w:rsidRPr="008E719E">
              <w:rPr>
                <w:rFonts w:ascii="Arial" w:eastAsia="楷体_GB2312" w:hAnsi="Arial" w:cs="楷体_GB2312" w:hint="eastAsia"/>
                <w:color w:val="000000"/>
                <w:sz w:val="20"/>
                <w:szCs w:val="20"/>
              </w:rPr>
              <w:t>董事、总经理</w:t>
            </w:r>
          </w:p>
        </w:tc>
        <w:tc>
          <w:tcPr>
            <w:tcW w:w="709" w:type="dxa"/>
            <w:vAlign w:val="center"/>
          </w:tcPr>
          <w:p w:rsidR="00DA0843" w:rsidRPr="008E719E" w:rsidRDefault="00DA0843" w:rsidP="00DE2C55">
            <w:pPr>
              <w:jc w:val="center"/>
              <w:rPr>
                <w:rFonts w:ascii="Arial" w:eastAsia="楷体_GB2312" w:hAnsi="Arial" w:cs="Times New Roman"/>
                <w:color w:val="000000"/>
                <w:sz w:val="20"/>
                <w:szCs w:val="20"/>
              </w:rPr>
            </w:pPr>
            <w:r w:rsidRPr="008E719E">
              <w:rPr>
                <w:rFonts w:ascii="Arial" w:eastAsia="楷体_GB2312" w:hAnsi="Arial" w:cs="楷体_GB2312" w:hint="eastAsia"/>
                <w:color w:val="000000"/>
                <w:sz w:val="20"/>
                <w:szCs w:val="20"/>
              </w:rPr>
              <w:t>男</w:t>
            </w:r>
          </w:p>
        </w:tc>
        <w:tc>
          <w:tcPr>
            <w:tcW w:w="1417" w:type="dxa"/>
            <w:noWrap/>
            <w:vAlign w:val="center"/>
          </w:tcPr>
          <w:p w:rsidR="00DA0843" w:rsidRPr="008E719E" w:rsidRDefault="00DA0843" w:rsidP="00DE2C55">
            <w:pPr>
              <w:jc w:val="center"/>
              <w:rPr>
                <w:rFonts w:ascii="Arial" w:eastAsia="楷体_GB2312" w:hAnsi="Arial" w:cs="Arial"/>
                <w:color w:val="000000"/>
                <w:sz w:val="20"/>
                <w:szCs w:val="20"/>
              </w:rPr>
            </w:pPr>
            <w:r w:rsidRPr="008E719E">
              <w:rPr>
                <w:rFonts w:ascii="Arial" w:eastAsia="楷体_GB2312" w:hAnsi="Arial" w:cs="Arial"/>
                <w:color w:val="000000"/>
                <w:sz w:val="20"/>
                <w:szCs w:val="20"/>
              </w:rPr>
              <w:t xml:space="preserve">176.54 </w:t>
            </w:r>
          </w:p>
        </w:tc>
      </w:tr>
      <w:tr w:rsidR="00DA0843" w:rsidRPr="00035403">
        <w:trPr>
          <w:trHeight w:val="360"/>
        </w:trPr>
        <w:tc>
          <w:tcPr>
            <w:tcW w:w="993" w:type="dxa"/>
            <w:noWrap/>
            <w:vAlign w:val="center"/>
          </w:tcPr>
          <w:p w:rsidR="00DA0843" w:rsidRPr="008E719E" w:rsidRDefault="00DA0843" w:rsidP="00DE2C55">
            <w:pPr>
              <w:jc w:val="center"/>
              <w:rPr>
                <w:rFonts w:ascii="Arial" w:eastAsia="楷体_GB2312" w:hAnsi="Arial" w:cs="Arial"/>
                <w:color w:val="000000"/>
                <w:sz w:val="20"/>
                <w:szCs w:val="20"/>
              </w:rPr>
            </w:pPr>
            <w:r w:rsidRPr="008E719E">
              <w:rPr>
                <w:rFonts w:ascii="Arial" w:eastAsia="楷体_GB2312" w:hAnsi="Arial" w:cs="Arial"/>
                <w:color w:val="000000"/>
                <w:sz w:val="20"/>
                <w:szCs w:val="20"/>
              </w:rPr>
              <w:t>000961</w:t>
            </w:r>
          </w:p>
        </w:tc>
        <w:tc>
          <w:tcPr>
            <w:tcW w:w="1134" w:type="dxa"/>
            <w:noWrap/>
            <w:vAlign w:val="center"/>
          </w:tcPr>
          <w:p w:rsidR="00DA0843" w:rsidRPr="008E719E" w:rsidRDefault="00DA0843" w:rsidP="00DE2C55">
            <w:pPr>
              <w:jc w:val="center"/>
              <w:rPr>
                <w:rFonts w:ascii="Arial" w:eastAsia="楷体_GB2312" w:hAnsi="Arial" w:cs="Times New Roman"/>
                <w:color w:val="000000"/>
                <w:sz w:val="20"/>
                <w:szCs w:val="20"/>
              </w:rPr>
            </w:pPr>
            <w:r w:rsidRPr="008E719E">
              <w:rPr>
                <w:rFonts w:ascii="Arial" w:eastAsia="楷体_GB2312" w:hAnsi="Arial" w:cs="楷体_GB2312" w:hint="eastAsia"/>
                <w:color w:val="000000"/>
                <w:sz w:val="20"/>
                <w:szCs w:val="20"/>
              </w:rPr>
              <w:t>中南建设</w:t>
            </w:r>
          </w:p>
        </w:tc>
        <w:tc>
          <w:tcPr>
            <w:tcW w:w="1701" w:type="dxa"/>
            <w:vAlign w:val="center"/>
          </w:tcPr>
          <w:p w:rsidR="00DA0843" w:rsidRPr="008E719E" w:rsidRDefault="00DA0843" w:rsidP="00DE2C55">
            <w:pPr>
              <w:jc w:val="center"/>
              <w:rPr>
                <w:rFonts w:ascii="Arial" w:eastAsia="楷体_GB2312" w:hAnsi="Arial" w:cs="Times New Roman"/>
                <w:color w:val="000000"/>
                <w:sz w:val="20"/>
                <w:szCs w:val="20"/>
              </w:rPr>
            </w:pPr>
            <w:r w:rsidRPr="008E719E">
              <w:rPr>
                <w:rFonts w:ascii="Arial" w:eastAsia="楷体_GB2312" w:hAnsi="Arial" w:cs="楷体_GB2312" w:hint="eastAsia"/>
                <w:color w:val="000000"/>
                <w:sz w:val="20"/>
                <w:szCs w:val="20"/>
              </w:rPr>
              <w:t>建筑业</w:t>
            </w:r>
          </w:p>
        </w:tc>
        <w:tc>
          <w:tcPr>
            <w:tcW w:w="992" w:type="dxa"/>
            <w:vAlign w:val="center"/>
          </w:tcPr>
          <w:p w:rsidR="00DA0843" w:rsidRPr="008E719E" w:rsidRDefault="00DA0843" w:rsidP="00DE2C55">
            <w:pPr>
              <w:jc w:val="center"/>
              <w:rPr>
                <w:rFonts w:ascii="楷体_GB2312" w:eastAsia="楷体_GB2312" w:hAnsi="Arial" w:cs="Times New Roman"/>
                <w:color w:val="000000"/>
                <w:sz w:val="20"/>
                <w:szCs w:val="20"/>
              </w:rPr>
            </w:pPr>
            <w:r w:rsidRPr="008E719E">
              <w:rPr>
                <w:rFonts w:ascii="楷体_GB2312" w:eastAsia="楷体_GB2312" w:hAnsi="Arial" w:cs="楷体_GB2312" w:hint="eastAsia"/>
                <w:color w:val="000000"/>
                <w:sz w:val="20"/>
                <w:szCs w:val="20"/>
              </w:rPr>
              <w:t>非国有</w:t>
            </w:r>
          </w:p>
        </w:tc>
        <w:tc>
          <w:tcPr>
            <w:tcW w:w="992" w:type="dxa"/>
            <w:noWrap/>
            <w:vAlign w:val="center"/>
          </w:tcPr>
          <w:p w:rsidR="00DA0843" w:rsidRPr="008E719E" w:rsidRDefault="00DA0843" w:rsidP="00DE2C55">
            <w:pPr>
              <w:jc w:val="center"/>
              <w:rPr>
                <w:rFonts w:ascii="Arial" w:eastAsia="楷体_GB2312" w:hAnsi="Arial" w:cs="Times New Roman"/>
                <w:color w:val="000000"/>
                <w:sz w:val="20"/>
                <w:szCs w:val="20"/>
              </w:rPr>
            </w:pPr>
            <w:r w:rsidRPr="008E719E">
              <w:rPr>
                <w:rFonts w:ascii="Arial" w:eastAsia="楷体_GB2312" w:hAnsi="Arial" w:cs="楷体_GB2312" w:hint="eastAsia"/>
                <w:color w:val="000000"/>
                <w:sz w:val="20"/>
                <w:szCs w:val="20"/>
              </w:rPr>
              <w:t>陈锦石</w:t>
            </w:r>
          </w:p>
        </w:tc>
        <w:tc>
          <w:tcPr>
            <w:tcW w:w="1843" w:type="dxa"/>
            <w:noWrap/>
            <w:vAlign w:val="center"/>
          </w:tcPr>
          <w:p w:rsidR="00DA0843" w:rsidRPr="008E719E" w:rsidRDefault="00DA0843" w:rsidP="00DE2C55">
            <w:pPr>
              <w:jc w:val="center"/>
              <w:rPr>
                <w:rFonts w:ascii="Arial" w:eastAsia="楷体_GB2312" w:hAnsi="Arial" w:cs="Times New Roman"/>
                <w:color w:val="000000"/>
                <w:sz w:val="20"/>
                <w:szCs w:val="20"/>
              </w:rPr>
            </w:pPr>
            <w:r w:rsidRPr="008E719E">
              <w:rPr>
                <w:rFonts w:ascii="Arial" w:eastAsia="楷体_GB2312" w:hAnsi="Arial" w:cs="楷体_GB2312" w:hint="eastAsia"/>
                <w:color w:val="000000"/>
                <w:sz w:val="20"/>
                <w:szCs w:val="20"/>
              </w:rPr>
              <w:t>董事长、总经理</w:t>
            </w:r>
          </w:p>
        </w:tc>
        <w:tc>
          <w:tcPr>
            <w:tcW w:w="709" w:type="dxa"/>
            <w:vAlign w:val="center"/>
          </w:tcPr>
          <w:p w:rsidR="00DA0843" w:rsidRPr="008E719E" w:rsidRDefault="00DA0843" w:rsidP="00DE2C55">
            <w:pPr>
              <w:jc w:val="center"/>
              <w:rPr>
                <w:rFonts w:ascii="Arial" w:eastAsia="楷体_GB2312" w:hAnsi="Arial" w:cs="Times New Roman"/>
                <w:color w:val="000000"/>
                <w:sz w:val="20"/>
                <w:szCs w:val="20"/>
              </w:rPr>
            </w:pPr>
            <w:r w:rsidRPr="008E719E">
              <w:rPr>
                <w:rFonts w:ascii="Arial" w:eastAsia="楷体_GB2312" w:hAnsi="Arial" w:cs="楷体_GB2312" w:hint="eastAsia"/>
                <w:color w:val="000000"/>
                <w:sz w:val="20"/>
                <w:szCs w:val="20"/>
              </w:rPr>
              <w:t>男</w:t>
            </w:r>
          </w:p>
        </w:tc>
        <w:tc>
          <w:tcPr>
            <w:tcW w:w="1417" w:type="dxa"/>
            <w:noWrap/>
            <w:vAlign w:val="center"/>
          </w:tcPr>
          <w:p w:rsidR="00DA0843" w:rsidRPr="008E719E" w:rsidRDefault="00DA0843" w:rsidP="00DE2C55">
            <w:pPr>
              <w:jc w:val="center"/>
              <w:rPr>
                <w:rFonts w:ascii="Arial" w:eastAsia="楷体_GB2312" w:hAnsi="Arial" w:cs="Arial"/>
                <w:color w:val="000000"/>
                <w:sz w:val="20"/>
                <w:szCs w:val="20"/>
              </w:rPr>
            </w:pPr>
            <w:r w:rsidRPr="008E719E">
              <w:rPr>
                <w:rFonts w:ascii="Arial" w:eastAsia="楷体_GB2312" w:hAnsi="Arial" w:cs="Arial"/>
                <w:color w:val="000000"/>
                <w:sz w:val="20"/>
                <w:szCs w:val="20"/>
              </w:rPr>
              <w:t xml:space="preserve">166.70 </w:t>
            </w:r>
          </w:p>
        </w:tc>
      </w:tr>
      <w:tr w:rsidR="00DA0843" w:rsidRPr="00035403">
        <w:trPr>
          <w:trHeight w:val="360"/>
        </w:trPr>
        <w:tc>
          <w:tcPr>
            <w:tcW w:w="993" w:type="dxa"/>
            <w:noWrap/>
            <w:vAlign w:val="center"/>
          </w:tcPr>
          <w:p w:rsidR="00DA0843" w:rsidRPr="008E719E" w:rsidRDefault="00DA0843" w:rsidP="00DE2C55">
            <w:pPr>
              <w:jc w:val="center"/>
              <w:rPr>
                <w:rFonts w:ascii="Arial" w:eastAsia="楷体_GB2312" w:hAnsi="Arial" w:cs="Arial"/>
                <w:color w:val="000000"/>
                <w:sz w:val="20"/>
                <w:szCs w:val="20"/>
              </w:rPr>
            </w:pPr>
            <w:r w:rsidRPr="008E719E">
              <w:rPr>
                <w:rFonts w:ascii="Arial" w:eastAsia="楷体_GB2312" w:hAnsi="Arial" w:cs="Arial"/>
                <w:color w:val="000000"/>
                <w:sz w:val="20"/>
                <w:szCs w:val="20"/>
              </w:rPr>
              <w:t>600533</w:t>
            </w:r>
          </w:p>
        </w:tc>
        <w:tc>
          <w:tcPr>
            <w:tcW w:w="1134" w:type="dxa"/>
            <w:noWrap/>
            <w:vAlign w:val="center"/>
          </w:tcPr>
          <w:p w:rsidR="00DA0843" w:rsidRPr="008E719E" w:rsidRDefault="00DA0843" w:rsidP="00DE2C55">
            <w:pPr>
              <w:jc w:val="center"/>
              <w:rPr>
                <w:rFonts w:ascii="Arial" w:eastAsia="楷体_GB2312" w:hAnsi="Arial" w:cs="Times New Roman"/>
                <w:color w:val="000000"/>
                <w:sz w:val="20"/>
                <w:szCs w:val="20"/>
              </w:rPr>
            </w:pPr>
            <w:r w:rsidRPr="008E719E">
              <w:rPr>
                <w:rFonts w:ascii="Arial" w:eastAsia="楷体_GB2312" w:hAnsi="Arial" w:cs="楷体_GB2312" w:hint="eastAsia"/>
                <w:color w:val="000000"/>
                <w:sz w:val="20"/>
                <w:szCs w:val="20"/>
              </w:rPr>
              <w:t>栖霞建设</w:t>
            </w:r>
          </w:p>
        </w:tc>
        <w:tc>
          <w:tcPr>
            <w:tcW w:w="1701" w:type="dxa"/>
            <w:vAlign w:val="center"/>
          </w:tcPr>
          <w:p w:rsidR="00DA0843" w:rsidRPr="008E719E" w:rsidRDefault="00DA0843" w:rsidP="00DE2C55">
            <w:pPr>
              <w:jc w:val="center"/>
              <w:rPr>
                <w:rFonts w:ascii="Arial" w:eastAsia="楷体_GB2312" w:hAnsi="Arial" w:cs="Times New Roman"/>
                <w:color w:val="000000"/>
                <w:sz w:val="20"/>
                <w:szCs w:val="20"/>
              </w:rPr>
            </w:pPr>
            <w:r w:rsidRPr="008E719E">
              <w:rPr>
                <w:rFonts w:ascii="Arial" w:eastAsia="楷体_GB2312" w:hAnsi="Arial" w:cs="楷体_GB2312" w:hint="eastAsia"/>
                <w:color w:val="000000"/>
                <w:sz w:val="20"/>
                <w:szCs w:val="20"/>
              </w:rPr>
              <w:t>房地产业</w:t>
            </w:r>
          </w:p>
        </w:tc>
        <w:tc>
          <w:tcPr>
            <w:tcW w:w="992" w:type="dxa"/>
            <w:vAlign w:val="center"/>
          </w:tcPr>
          <w:p w:rsidR="00DA0843" w:rsidRPr="008E719E" w:rsidRDefault="00DA0843" w:rsidP="00DE2C55">
            <w:pPr>
              <w:jc w:val="center"/>
              <w:rPr>
                <w:rFonts w:ascii="楷体_GB2312" w:eastAsia="楷体_GB2312" w:hAnsi="Arial" w:cs="Times New Roman"/>
                <w:color w:val="000000"/>
                <w:sz w:val="20"/>
                <w:szCs w:val="20"/>
              </w:rPr>
            </w:pPr>
            <w:r w:rsidRPr="008E719E">
              <w:rPr>
                <w:rFonts w:ascii="楷体_GB2312" w:eastAsia="楷体_GB2312" w:hAnsi="Arial" w:cs="楷体_GB2312" w:hint="eastAsia"/>
                <w:color w:val="000000"/>
                <w:sz w:val="20"/>
                <w:szCs w:val="20"/>
              </w:rPr>
              <w:t>国有</w:t>
            </w:r>
          </w:p>
        </w:tc>
        <w:tc>
          <w:tcPr>
            <w:tcW w:w="992" w:type="dxa"/>
            <w:vAlign w:val="center"/>
          </w:tcPr>
          <w:p w:rsidR="00DA0843" w:rsidRPr="008E719E" w:rsidRDefault="00DA0843" w:rsidP="00DE2C55">
            <w:pPr>
              <w:jc w:val="center"/>
              <w:rPr>
                <w:rFonts w:ascii="Arial" w:eastAsia="楷体_GB2312" w:hAnsi="Arial" w:cs="Times New Roman"/>
                <w:color w:val="000000"/>
                <w:sz w:val="20"/>
                <w:szCs w:val="20"/>
              </w:rPr>
            </w:pPr>
            <w:r w:rsidRPr="008E719E">
              <w:rPr>
                <w:rFonts w:ascii="Arial" w:eastAsia="楷体_GB2312" w:hAnsi="Arial" w:cs="楷体_GB2312" w:hint="eastAsia"/>
                <w:color w:val="000000"/>
                <w:sz w:val="20"/>
                <w:szCs w:val="20"/>
              </w:rPr>
              <w:t>江劲松</w:t>
            </w:r>
          </w:p>
        </w:tc>
        <w:tc>
          <w:tcPr>
            <w:tcW w:w="1843" w:type="dxa"/>
            <w:noWrap/>
            <w:vAlign w:val="center"/>
          </w:tcPr>
          <w:p w:rsidR="00DA0843" w:rsidRPr="008E719E" w:rsidRDefault="00DA0843" w:rsidP="00DE2C55">
            <w:pPr>
              <w:jc w:val="center"/>
              <w:rPr>
                <w:rFonts w:ascii="Arial" w:eastAsia="楷体_GB2312" w:hAnsi="Arial" w:cs="Times New Roman"/>
                <w:color w:val="000000"/>
                <w:sz w:val="20"/>
                <w:szCs w:val="20"/>
              </w:rPr>
            </w:pPr>
            <w:r w:rsidRPr="008E719E">
              <w:rPr>
                <w:rFonts w:ascii="Arial" w:eastAsia="楷体_GB2312" w:hAnsi="Arial" w:cs="楷体_GB2312" w:hint="eastAsia"/>
                <w:color w:val="000000"/>
                <w:sz w:val="20"/>
                <w:szCs w:val="20"/>
              </w:rPr>
              <w:t>董事长、总裁</w:t>
            </w:r>
          </w:p>
        </w:tc>
        <w:tc>
          <w:tcPr>
            <w:tcW w:w="709" w:type="dxa"/>
            <w:vAlign w:val="center"/>
          </w:tcPr>
          <w:p w:rsidR="00DA0843" w:rsidRPr="008E719E" w:rsidRDefault="00DA0843" w:rsidP="00DE2C55">
            <w:pPr>
              <w:jc w:val="center"/>
              <w:rPr>
                <w:rFonts w:ascii="Arial" w:eastAsia="楷体_GB2312" w:hAnsi="Arial" w:cs="Times New Roman"/>
                <w:color w:val="000000"/>
                <w:sz w:val="20"/>
                <w:szCs w:val="20"/>
              </w:rPr>
            </w:pPr>
            <w:r w:rsidRPr="008E719E">
              <w:rPr>
                <w:rFonts w:ascii="Arial" w:eastAsia="楷体_GB2312" w:hAnsi="Arial" w:cs="楷体_GB2312" w:hint="eastAsia"/>
                <w:color w:val="000000"/>
                <w:sz w:val="20"/>
                <w:szCs w:val="20"/>
              </w:rPr>
              <w:t>男</w:t>
            </w:r>
          </w:p>
        </w:tc>
        <w:tc>
          <w:tcPr>
            <w:tcW w:w="1417" w:type="dxa"/>
            <w:vAlign w:val="center"/>
          </w:tcPr>
          <w:p w:rsidR="00DA0843" w:rsidRPr="008E719E" w:rsidRDefault="00DA0843" w:rsidP="00DE2C55">
            <w:pPr>
              <w:jc w:val="center"/>
              <w:rPr>
                <w:rFonts w:ascii="Arial" w:eastAsia="楷体_GB2312" w:hAnsi="Arial" w:cs="Arial"/>
                <w:color w:val="000000"/>
                <w:sz w:val="20"/>
                <w:szCs w:val="20"/>
              </w:rPr>
            </w:pPr>
            <w:r w:rsidRPr="008E719E">
              <w:rPr>
                <w:rFonts w:ascii="Arial" w:eastAsia="楷体_GB2312" w:hAnsi="Arial" w:cs="Arial"/>
                <w:color w:val="000000"/>
                <w:sz w:val="20"/>
                <w:szCs w:val="20"/>
              </w:rPr>
              <w:t xml:space="preserve">159.78 </w:t>
            </w:r>
          </w:p>
        </w:tc>
      </w:tr>
      <w:tr w:rsidR="00DA0843" w:rsidRPr="00035403">
        <w:trPr>
          <w:trHeight w:val="360"/>
        </w:trPr>
        <w:tc>
          <w:tcPr>
            <w:tcW w:w="993" w:type="dxa"/>
            <w:noWrap/>
            <w:vAlign w:val="center"/>
          </w:tcPr>
          <w:p w:rsidR="00DA0843" w:rsidRPr="008E719E" w:rsidRDefault="00DA0843" w:rsidP="00DE2C55">
            <w:pPr>
              <w:jc w:val="center"/>
              <w:rPr>
                <w:rFonts w:ascii="Arial" w:eastAsia="楷体_GB2312" w:hAnsi="Arial" w:cs="Arial"/>
                <w:color w:val="000000"/>
                <w:sz w:val="20"/>
                <w:szCs w:val="20"/>
              </w:rPr>
            </w:pPr>
            <w:r w:rsidRPr="008E719E">
              <w:rPr>
                <w:rFonts w:ascii="Arial" w:eastAsia="楷体_GB2312" w:hAnsi="Arial" w:cs="Arial"/>
                <w:color w:val="000000"/>
                <w:sz w:val="20"/>
                <w:szCs w:val="20"/>
              </w:rPr>
              <w:t>601009</w:t>
            </w:r>
          </w:p>
        </w:tc>
        <w:tc>
          <w:tcPr>
            <w:tcW w:w="1134" w:type="dxa"/>
            <w:noWrap/>
            <w:vAlign w:val="center"/>
          </w:tcPr>
          <w:p w:rsidR="00DA0843" w:rsidRPr="008E719E" w:rsidRDefault="00DA0843" w:rsidP="00DE2C55">
            <w:pPr>
              <w:jc w:val="center"/>
              <w:rPr>
                <w:rFonts w:ascii="Arial" w:eastAsia="楷体_GB2312" w:hAnsi="Arial" w:cs="Times New Roman"/>
                <w:color w:val="000000"/>
                <w:sz w:val="20"/>
                <w:szCs w:val="20"/>
              </w:rPr>
            </w:pPr>
            <w:r w:rsidRPr="008E719E">
              <w:rPr>
                <w:rFonts w:ascii="Arial" w:eastAsia="楷体_GB2312" w:hAnsi="Arial" w:cs="楷体_GB2312" w:hint="eastAsia"/>
                <w:color w:val="000000"/>
                <w:sz w:val="20"/>
                <w:szCs w:val="20"/>
              </w:rPr>
              <w:t>南京银行</w:t>
            </w:r>
          </w:p>
        </w:tc>
        <w:tc>
          <w:tcPr>
            <w:tcW w:w="1701" w:type="dxa"/>
            <w:vAlign w:val="center"/>
          </w:tcPr>
          <w:p w:rsidR="00DA0843" w:rsidRPr="008E719E" w:rsidRDefault="00DA0843" w:rsidP="00DE2C55">
            <w:pPr>
              <w:jc w:val="center"/>
              <w:rPr>
                <w:rFonts w:ascii="Arial" w:eastAsia="楷体_GB2312" w:hAnsi="Arial" w:cs="Times New Roman"/>
                <w:color w:val="000000"/>
                <w:sz w:val="20"/>
                <w:szCs w:val="20"/>
              </w:rPr>
            </w:pPr>
            <w:r w:rsidRPr="008E719E">
              <w:rPr>
                <w:rFonts w:ascii="Arial" w:eastAsia="楷体_GB2312" w:hAnsi="Arial" w:cs="楷体_GB2312" w:hint="eastAsia"/>
                <w:color w:val="000000"/>
                <w:sz w:val="20"/>
                <w:szCs w:val="20"/>
              </w:rPr>
              <w:t>金融、保险业</w:t>
            </w:r>
          </w:p>
        </w:tc>
        <w:tc>
          <w:tcPr>
            <w:tcW w:w="992" w:type="dxa"/>
            <w:vAlign w:val="center"/>
          </w:tcPr>
          <w:p w:rsidR="00DA0843" w:rsidRPr="008E719E" w:rsidRDefault="00DA0843" w:rsidP="00DE2C55">
            <w:pPr>
              <w:jc w:val="center"/>
              <w:rPr>
                <w:rFonts w:ascii="楷体_GB2312" w:eastAsia="楷体_GB2312" w:hAnsi="Arial" w:cs="Times New Roman"/>
                <w:color w:val="000000"/>
                <w:sz w:val="20"/>
                <w:szCs w:val="20"/>
              </w:rPr>
            </w:pPr>
            <w:r w:rsidRPr="008E719E">
              <w:rPr>
                <w:rFonts w:ascii="楷体_GB2312" w:eastAsia="楷体_GB2312" w:hAnsi="Arial" w:cs="楷体_GB2312" w:hint="eastAsia"/>
                <w:color w:val="000000"/>
                <w:sz w:val="20"/>
                <w:szCs w:val="20"/>
              </w:rPr>
              <w:t>非国有</w:t>
            </w:r>
          </w:p>
        </w:tc>
        <w:tc>
          <w:tcPr>
            <w:tcW w:w="992" w:type="dxa"/>
            <w:noWrap/>
            <w:vAlign w:val="center"/>
          </w:tcPr>
          <w:p w:rsidR="00DA0843" w:rsidRPr="008E719E" w:rsidRDefault="00DA0843" w:rsidP="00DE2C55">
            <w:pPr>
              <w:jc w:val="center"/>
              <w:rPr>
                <w:rFonts w:ascii="Arial" w:eastAsia="楷体_GB2312" w:hAnsi="Arial" w:cs="Times New Roman"/>
                <w:color w:val="000000"/>
                <w:sz w:val="20"/>
                <w:szCs w:val="20"/>
              </w:rPr>
            </w:pPr>
            <w:r w:rsidRPr="008E719E">
              <w:rPr>
                <w:rFonts w:ascii="Arial" w:eastAsia="楷体_GB2312" w:hAnsi="Arial" w:cs="楷体_GB2312" w:hint="eastAsia"/>
                <w:color w:val="000000"/>
                <w:sz w:val="20"/>
                <w:szCs w:val="20"/>
              </w:rPr>
              <w:t>夏平</w:t>
            </w:r>
          </w:p>
        </w:tc>
        <w:tc>
          <w:tcPr>
            <w:tcW w:w="1843" w:type="dxa"/>
            <w:noWrap/>
            <w:vAlign w:val="center"/>
          </w:tcPr>
          <w:p w:rsidR="00DA0843" w:rsidRPr="008E719E" w:rsidRDefault="00DA0843" w:rsidP="00DE2C55">
            <w:pPr>
              <w:jc w:val="center"/>
              <w:rPr>
                <w:rFonts w:ascii="Arial" w:eastAsia="楷体_GB2312" w:hAnsi="Arial" w:cs="Times New Roman"/>
                <w:color w:val="000000"/>
                <w:sz w:val="20"/>
                <w:szCs w:val="20"/>
              </w:rPr>
            </w:pPr>
            <w:r w:rsidRPr="008E719E">
              <w:rPr>
                <w:rFonts w:ascii="Arial" w:eastAsia="楷体_GB2312" w:hAnsi="Arial" w:cs="楷体_GB2312" w:hint="eastAsia"/>
                <w:color w:val="000000"/>
                <w:sz w:val="20"/>
                <w:szCs w:val="20"/>
              </w:rPr>
              <w:t>董事、行长</w:t>
            </w:r>
          </w:p>
        </w:tc>
        <w:tc>
          <w:tcPr>
            <w:tcW w:w="709" w:type="dxa"/>
            <w:vAlign w:val="center"/>
          </w:tcPr>
          <w:p w:rsidR="00DA0843" w:rsidRPr="008E719E" w:rsidRDefault="00DA0843" w:rsidP="00DE2C55">
            <w:pPr>
              <w:jc w:val="center"/>
              <w:rPr>
                <w:rFonts w:ascii="Arial" w:eastAsia="楷体_GB2312" w:hAnsi="Arial" w:cs="Times New Roman"/>
                <w:color w:val="000000"/>
                <w:sz w:val="20"/>
                <w:szCs w:val="20"/>
              </w:rPr>
            </w:pPr>
            <w:r w:rsidRPr="008E719E">
              <w:rPr>
                <w:rFonts w:ascii="Arial" w:eastAsia="楷体_GB2312" w:hAnsi="Arial" w:cs="楷体_GB2312" w:hint="eastAsia"/>
                <w:color w:val="000000"/>
                <w:sz w:val="20"/>
                <w:szCs w:val="20"/>
              </w:rPr>
              <w:t>男</w:t>
            </w:r>
          </w:p>
        </w:tc>
        <w:tc>
          <w:tcPr>
            <w:tcW w:w="1417" w:type="dxa"/>
            <w:noWrap/>
            <w:vAlign w:val="center"/>
          </w:tcPr>
          <w:p w:rsidR="00DA0843" w:rsidRPr="008E719E" w:rsidRDefault="00DA0843" w:rsidP="00DE2C55">
            <w:pPr>
              <w:jc w:val="center"/>
              <w:rPr>
                <w:rFonts w:ascii="Arial" w:eastAsia="楷体_GB2312" w:hAnsi="Arial" w:cs="Arial"/>
                <w:color w:val="000000"/>
                <w:sz w:val="20"/>
                <w:szCs w:val="20"/>
              </w:rPr>
            </w:pPr>
            <w:r w:rsidRPr="008E719E">
              <w:rPr>
                <w:rFonts w:ascii="Arial" w:eastAsia="楷体_GB2312" w:hAnsi="Arial" w:cs="Arial"/>
                <w:color w:val="000000"/>
                <w:sz w:val="20"/>
                <w:szCs w:val="20"/>
              </w:rPr>
              <w:t xml:space="preserve">150.21 </w:t>
            </w:r>
          </w:p>
        </w:tc>
      </w:tr>
    </w:tbl>
    <w:p w:rsidR="00DA0843" w:rsidRDefault="00DA0843" w:rsidP="00DA0843">
      <w:pPr>
        <w:spacing w:beforeLines="50"/>
        <w:ind w:firstLineChars="196" w:firstLine="31680"/>
        <w:rPr>
          <w:rFonts w:ascii="Arial" w:eastAsia="楷体_GB2312" w:hAnsi="Arial" w:cs="Times New Roman"/>
        </w:rPr>
      </w:pPr>
      <w:r>
        <w:rPr>
          <w:rFonts w:ascii="Arial" w:eastAsia="楷体_GB2312" w:hAnsi="Arial" w:cs="楷体_GB2312" w:hint="eastAsia"/>
        </w:rPr>
        <w:t>而在最低值方面，去除年报未披露或披露为</w:t>
      </w:r>
      <w:r>
        <w:rPr>
          <w:rFonts w:ascii="Arial" w:eastAsia="楷体_GB2312" w:hAnsi="Arial" w:cs="Arial"/>
        </w:rPr>
        <w:t>0</w:t>
      </w:r>
      <w:r>
        <w:rPr>
          <w:rFonts w:ascii="Arial" w:eastAsia="楷体_GB2312" w:hAnsi="Arial" w:cs="楷体_GB2312" w:hint="eastAsia"/>
        </w:rPr>
        <w:t>的数据，</w:t>
      </w:r>
      <w:r>
        <w:rPr>
          <w:rFonts w:ascii="Arial" w:eastAsia="楷体_GB2312" w:hAnsi="Arial" w:cs="Arial"/>
        </w:rPr>
        <w:t>2008</w:t>
      </w:r>
      <w:r>
        <w:rPr>
          <w:rFonts w:ascii="Arial" w:eastAsia="楷体_GB2312" w:hAnsi="Arial" w:cs="楷体_GB2312" w:hint="eastAsia"/>
        </w:rPr>
        <w:t>至</w:t>
      </w:r>
      <w:r>
        <w:rPr>
          <w:rFonts w:ascii="Arial" w:eastAsia="楷体_GB2312" w:hAnsi="Arial" w:cs="Arial"/>
        </w:rPr>
        <w:t>2012</w:t>
      </w:r>
      <w:r>
        <w:rPr>
          <w:rFonts w:ascii="Arial" w:eastAsia="楷体_GB2312" w:hAnsi="Arial" w:cs="楷体_GB2312" w:hint="eastAsia"/>
        </w:rPr>
        <w:t>年江苏省上市公司高管年薪最低值基本处于</w:t>
      </w:r>
      <w:r>
        <w:rPr>
          <w:rFonts w:ascii="Arial" w:eastAsia="楷体_GB2312" w:hAnsi="Arial" w:cs="Arial"/>
        </w:rPr>
        <w:t>3.5</w:t>
      </w:r>
      <w:r>
        <w:rPr>
          <w:rFonts w:ascii="Arial" w:eastAsia="楷体_GB2312" w:hAnsi="Arial" w:cs="楷体_GB2312" w:hint="eastAsia"/>
        </w:rPr>
        <w:t>万元左右。高管薪酬最高值和最低值之间相差超过</w:t>
      </w:r>
      <w:r>
        <w:rPr>
          <w:rFonts w:ascii="Arial" w:eastAsia="楷体_GB2312" w:hAnsi="Arial" w:cs="Arial"/>
        </w:rPr>
        <w:t>70</w:t>
      </w:r>
      <w:r>
        <w:rPr>
          <w:rFonts w:ascii="Arial" w:eastAsia="楷体_GB2312" w:hAnsi="Arial" w:cs="楷体_GB2312" w:hint="eastAsia"/>
        </w:rPr>
        <w:t>倍。当然，这也不排除部分企业高管不在本公司领取全部薪酬的状况。</w:t>
      </w:r>
    </w:p>
    <w:p w:rsidR="00DA0843" w:rsidRDefault="00DA0843" w:rsidP="00370B4F">
      <w:pPr>
        <w:spacing w:beforeLines="50"/>
        <w:ind w:firstLineChars="196" w:firstLine="31680"/>
        <w:rPr>
          <w:rFonts w:ascii="Arial" w:eastAsia="楷体_GB2312" w:hAnsi="Arial" w:cs="Times New Roman"/>
        </w:rPr>
      </w:pPr>
      <w:r>
        <w:rPr>
          <w:rFonts w:ascii="Arial" w:eastAsia="楷体_GB2312" w:hAnsi="Arial" w:cs="楷体_GB2312" w:hint="eastAsia"/>
        </w:rPr>
        <w:t>联合咨询中心发现，薪酬的高低差距大，</w:t>
      </w:r>
      <w:r w:rsidRPr="001375FF">
        <w:rPr>
          <w:rFonts w:ascii="Arial" w:eastAsia="楷体_GB2312" w:hAnsi="Arial" w:cs="楷体_GB2312" w:hint="eastAsia"/>
        </w:rPr>
        <w:t>呈现薪酬高者增长幅度大，而薪酬低者增幅小的现象，存在马太效应。</w:t>
      </w:r>
    </w:p>
    <w:p w:rsidR="00DA0843" w:rsidRPr="00EF298D" w:rsidRDefault="00DA0843" w:rsidP="008D4B5F">
      <w:pPr>
        <w:spacing w:beforeLines="50"/>
        <w:outlineLvl w:val="1"/>
        <w:rPr>
          <w:rFonts w:ascii="Arial" w:eastAsia="楷体_GB2312" w:hAnsi="Arial" w:cs="Times New Roman"/>
          <w:b/>
          <w:bCs/>
          <w:sz w:val="22"/>
          <w:szCs w:val="22"/>
        </w:rPr>
      </w:pPr>
      <w:r>
        <w:rPr>
          <w:rFonts w:ascii="Arial" w:eastAsia="楷体_GB2312" w:hAnsi="Arial" w:cs="楷体_GB2312" w:hint="eastAsia"/>
          <w:b/>
          <w:bCs/>
          <w:sz w:val="22"/>
          <w:szCs w:val="22"/>
        </w:rPr>
        <w:t>省市比较：江苏</w:t>
      </w:r>
      <w:r w:rsidRPr="00EF298D">
        <w:rPr>
          <w:rFonts w:ascii="Arial" w:eastAsia="楷体_GB2312" w:hAnsi="Arial" w:cs="楷体_GB2312" w:hint="eastAsia"/>
          <w:b/>
          <w:bCs/>
          <w:sz w:val="22"/>
          <w:szCs w:val="22"/>
        </w:rPr>
        <w:t>高管薪酬水平与临近省市</w:t>
      </w:r>
      <w:bookmarkEnd w:id="3"/>
      <w:r>
        <w:rPr>
          <w:rFonts w:ascii="Arial" w:eastAsia="楷体_GB2312" w:hAnsi="Arial" w:cs="楷体_GB2312" w:hint="eastAsia"/>
          <w:b/>
          <w:bCs/>
          <w:sz w:val="22"/>
          <w:szCs w:val="22"/>
        </w:rPr>
        <w:t>存在</w:t>
      </w:r>
      <w:r w:rsidRPr="00EF298D">
        <w:rPr>
          <w:rFonts w:ascii="Arial" w:eastAsia="楷体_GB2312" w:hAnsi="Arial" w:cs="楷体_GB2312" w:hint="eastAsia"/>
          <w:b/>
          <w:bCs/>
          <w:sz w:val="22"/>
          <w:szCs w:val="22"/>
        </w:rPr>
        <w:t>一定差距</w:t>
      </w:r>
    </w:p>
    <w:p w:rsidR="00DA0843" w:rsidRPr="0052738A" w:rsidRDefault="00DA0843" w:rsidP="00370B4F">
      <w:pPr>
        <w:spacing w:beforeLines="50"/>
        <w:ind w:firstLineChars="200" w:firstLine="31680"/>
        <w:rPr>
          <w:rFonts w:ascii="Arial" w:eastAsia="楷体_GB2312" w:hAnsi="Arial" w:cs="Times New Roman"/>
        </w:rPr>
      </w:pPr>
      <w:r w:rsidRPr="0052738A">
        <w:rPr>
          <w:rFonts w:ascii="Arial" w:eastAsia="楷体_GB2312" w:hAnsi="Arial" w:cs="楷体_GB2312" w:hint="eastAsia"/>
        </w:rPr>
        <w:t>从</w:t>
      </w:r>
      <w:r>
        <w:rPr>
          <w:rFonts w:ascii="Arial" w:eastAsia="楷体_GB2312" w:hAnsi="Arial" w:cs="Arial"/>
        </w:rPr>
        <w:t>2012</w:t>
      </w:r>
      <w:r w:rsidRPr="0052738A">
        <w:rPr>
          <w:rFonts w:ascii="Arial" w:eastAsia="楷体_GB2312" w:hAnsi="Arial" w:cs="楷体_GB2312" w:hint="eastAsia"/>
        </w:rPr>
        <w:t>年全国范围的上市公司高管平均薪酬来看，江苏省高管薪酬水平列全国第十</w:t>
      </w:r>
      <w:r>
        <w:rPr>
          <w:rFonts w:ascii="Arial" w:eastAsia="楷体_GB2312" w:hAnsi="Arial" w:cs="楷体_GB2312" w:hint="eastAsia"/>
        </w:rPr>
        <w:t>三</w:t>
      </w:r>
      <w:r w:rsidRPr="0052738A">
        <w:rPr>
          <w:rFonts w:ascii="Arial" w:eastAsia="楷体_GB2312" w:hAnsi="Arial" w:cs="楷体_GB2312" w:hint="eastAsia"/>
        </w:rPr>
        <w:t>位。</w:t>
      </w:r>
      <w:r>
        <w:rPr>
          <w:rFonts w:ascii="Arial" w:eastAsia="楷体_GB2312" w:hAnsi="Arial" w:cs="楷体_GB2312" w:hint="eastAsia"/>
        </w:rPr>
        <w:t>和其他地区相比，</w:t>
      </w:r>
      <w:r w:rsidRPr="0052738A">
        <w:rPr>
          <w:rFonts w:ascii="Arial" w:eastAsia="楷体_GB2312" w:hAnsi="Arial" w:cs="楷体_GB2312" w:hint="eastAsia"/>
        </w:rPr>
        <w:t>江苏省上市公司高管薪酬平均值比排名第一的广东省（</w:t>
      </w:r>
      <w:r>
        <w:rPr>
          <w:rFonts w:ascii="Arial" w:eastAsia="楷体_GB2312" w:hAnsi="Arial" w:cs="Arial"/>
        </w:rPr>
        <w:t>88</w:t>
      </w:r>
      <w:r w:rsidRPr="0052738A">
        <w:rPr>
          <w:rFonts w:ascii="Arial" w:eastAsia="楷体_GB2312" w:hAnsi="Arial" w:cs="楷体_GB2312" w:hint="eastAsia"/>
        </w:rPr>
        <w:t>万元）低</w:t>
      </w:r>
      <w:r>
        <w:rPr>
          <w:rFonts w:ascii="Arial" w:eastAsia="楷体_GB2312" w:hAnsi="Arial" w:cs="Arial"/>
        </w:rPr>
        <w:t>34</w:t>
      </w:r>
      <w:r w:rsidRPr="0052738A">
        <w:rPr>
          <w:rFonts w:ascii="Arial" w:eastAsia="楷体_GB2312" w:hAnsi="Arial" w:cs="Arial"/>
        </w:rPr>
        <w:t>%</w:t>
      </w:r>
      <w:r w:rsidRPr="0052738A">
        <w:rPr>
          <w:rFonts w:ascii="Arial" w:eastAsia="楷体_GB2312" w:hAnsi="Arial" w:cs="楷体_GB2312" w:hint="eastAsia"/>
        </w:rPr>
        <w:t>，比临近的上海市（</w:t>
      </w:r>
      <w:r>
        <w:rPr>
          <w:rFonts w:ascii="Arial" w:eastAsia="楷体_GB2312" w:hAnsi="Arial" w:cs="Arial"/>
        </w:rPr>
        <w:t>72.9</w:t>
      </w:r>
      <w:r w:rsidRPr="0052738A">
        <w:rPr>
          <w:rFonts w:ascii="Arial" w:eastAsia="楷体_GB2312" w:hAnsi="Arial" w:cs="楷体_GB2312" w:hint="eastAsia"/>
        </w:rPr>
        <w:t>万元）、浙江省（</w:t>
      </w:r>
      <w:r>
        <w:rPr>
          <w:rFonts w:ascii="Arial" w:eastAsia="楷体_GB2312" w:hAnsi="Arial" w:cs="Arial"/>
        </w:rPr>
        <w:t>64</w:t>
      </w:r>
      <w:r w:rsidRPr="0052738A">
        <w:rPr>
          <w:rFonts w:ascii="Arial" w:eastAsia="楷体_GB2312" w:hAnsi="Arial" w:cs="楷体_GB2312" w:hint="eastAsia"/>
        </w:rPr>
        <w:t>万元）分别低</w:t>
      </w:r>
      <w:r>
        <w:rPr>
          <w:rFonts w:ascii="Arial" w:eastAsia="楷体_GB2312" w:hAnsi="Arial" w:cs="Arial"/>
        </w:rPr>
        <w:t>20</w:t>
      </w:r>
      <w:r w:rsidRPr="0052738A">
        <w:rPr>
          <w:rFonts w:ascii="Arial" w:eastAsia="楷体_GB2312" w:hAnsi="Arial" w:cs="Arial"/>
        </w:rPr>
        <w:t>%</w:t>
      </w:r>
      <w:r w:rsidRPr="0052738A">
        <w:rPr>
          <w:rFonts w:ascii="Arial" w:eastAsia="楷体_GB2312" w:hAnsi="Arial" w:cs="楷体_GB2312" w:hint="eastAsia"/>
        </w:rPr>
        <w:t>、</w:t>
      </w:r>
      <w:r>
        <w:rPr>
          <w:rFonts w:ascii="Arial" w:eastAsia="楷体_GB2312" w:hAnsi="Arial" w:cs="Arial"/>
        </w:rPr>
        <w:t>10</w:t>
      </w:r>
      <w:r w:rsidRPr="0052738A">
        <w:rPr>
          <w:rFonts w:ascii="Arial" w:eastAsia="楷体_GB2312" w:hAnsi="Arial" w:cs="Arial"/>
        </w:rPr>
        <w:t>%</w:t>
      </w:r>
      <w:r>
        <w:rPr>
          <w:rFonts w:ascii="Arial" w:eastAsia="楷体_GB2312" w:hAnsi="Arial" w:cs="楷体_GB2312" w:hint="eastAsia"/>
        </w:rPr>
        <w:t>。</w:t>
      </w:r>
    </w:p>
    <w:p w:rsidR="00DA0843" w:rsidRPr="00393F3B" w:rsidRDefault="00DA0843" w:rsidP="008D4B5F">
      <w:pPr>
        <w:spacing w:beforeLines="50"/>
        <w:outlineLvl w:val="1"/>
        <w:rPr>
          <w:rFonts w:ascii="Arial" w:eastAsia="楷体_GB2312" w:hAnsi="Arial" w:cs="Times New Roman"/>
          <w:b/>
          <w:bCs/>
          <w:sz w:val="22"/>
          <w:szCs w:val="22"/>
        </w:rPr>
      </w:pPr>
      <w:r>
        <w:rPr>
          <w:rFonts w:ascii="Arial" w:eastAsia="楷体_GB2312" w:hAnsi="Arial" w:cs="楷体_GB2312" w:hint="eastAsia"/>
          <w:b/>
          <w:bCs/>
          <w:sz w:val="22"/>
          <w:szCs w:val="22"/>
        </w:rPr>
        <w:t>行业比较：</w:t>
      </w:r>
      <w:r w:rsidRPr="00393F3B">
        <w:rPr>
          <w:rFonts w:ascii="Arial" w:eastAsia="楷体_GB2312" w:hAnsi="Arial" w:cs="楷体_GB2312" w:hint="eastAsia"/>
          <w:b/>
          <w:bCs/>
          <w:sz w:val="22"/>
          <w:szCs w:val="22"/>
        </w:rPr>
        <w:t>“同职不同酬”，</w:t>
      </w:r>
      <w:r>
        <w:rPr>
          <w:rFonts w:ascii="Arial" w:eastAsia="楷体_GB2312" w:hAnsi="Arial" w:cs="楷体_GB2312" w:hint="eastAsia"/>
          <w:b/>
          <w:bCs/>
          <w:sz w:val="22"/>
          <w:szCs w:val="22"/>
        </w:rPr>
        <w:t>江苏</w:t>
      </w:r>
      <w:r w:rsidRPr="00393F3B">
        <w:rPr>
          <w:rFonts w:ascii="Arial" w:eastAsia="楷体_GB2312" w:hAnsi="Arial" w:cs="楷体_GB2312" w:hint="eastAsia"/>
          <w:b/>
          <w:bCs/>
          <w:sz w:val="22"/>
          <w:szCs w:val="22"/>
        </w:rPr>
        <w:t>不同行业间高管年薪差距显著</w:t>
      </w:r>
    </w:p>
    <w:p w:rsidR="00DA0843" w:rsidRDefault="00DA0843" w:rsidP="00370B4F">
      <w:pPr>
        <w:spacing w:beforeLines="50"/>
        <w:ind w:firstLineChars="200" w:firstLine="31680"/>
        <w:rPr>
          <w:rFonts w:ascii="Arial" w:eastAsia="楷体_GB2312" w:hAnsi="Arial" w:cs="Times New Roman"/>
        </w:rPr>
      </w:pPr>
      <w:r w:rsidRPr="00B806A7">
        <w:rPr>
          <w:rFonts w:ascii="Arial" w:eastAsia="楷体_GB2312" w:hAnsi="Arial" w:cs="楷体_GB2312" w:hint="eastAsia"/>
        </w:rPr>
        <w:t>在江苏全省上市公司涉及的</w:t>
      </w:r>
      <w:r>
        <w:rPr>
          <w:rFonts w:ascii="Arial" w:eastAsia="楷体_GB2312" w:hAnsi="Arial" w:cs="Arial"/>
        </w:rPr>
        <w:t>11</w:t>
      </w:r>
      <w:r w:rsidRPr="00B806A7">
        <w:rPr>
          <w:rFonts w:ascii="Arial" w:eastAsia="楷体_GB2312" w:hAnsi="Arial" w:cs="楷体_GB2312" w:hint="eastAsia"/>
        </w:rPr>
        <w:t>个行业中，</w:t>
      </w:r>
      <w:r>
        <w:rPr>
          <w:rFonts w:ascii="Arial" w:eastAsia="楷体_GB2312" w:hAnsi="Arial" w:cs="楷体_GB2312" w:hint="eastAsia"/>
        </w:rPr>
        <w:t>电煤水生产和供应业</w:t>
      </w:r>
      <w:r w:rsidRPr="00B806A7">
        <w:rPr>
          <w:rFonts w:ascii="Arial" w:eastAsia="楷体_GB2312" w:hAnsi="Arial" w:cs="楷体_GB2312" w:hint="eastAsia"/>
        </w:rPr>
        <w:t>行业</w:t>
      </w:r>
      <w:r>
        <w:rPr>
          <w:rFonts w:ascii="Arial" w:eastAsia="楷体_GB2312" w:hAnsi="Arial" w:cs="楷体_GB2312" w:hint="eastAsia"/>
        </w:rPr>
        <w:t>、</w:t>
      </w:r>
      <w:r w:rsidRPr="00B806A7">
        <w:rPr>
          <w:rFonts w:ascii="Arial" w:eastAsia="楷体_GB2312" w:hAnsi="Arial" w:cs="楷体_GB2312" w:hint="eastAsia"/>
        </w:rPr>
        <w:t>综合类</w:t>
      </w:r>
      <w:r>
        <w:rPr>
          <w:rFonts w:ascii="Arial" w:eastAsia="楷体_GB2312" w:hAnsi="Arial" w:cs="楷体_GB2312" w:hint="eastAsia"/>
        </w:rPr>
        <w:t>、制造业</w:t>
      </w:r>
      <w:r w:rsidRPr="00B806A7">
        <w:rPr>
          <w:rFonts w:ascii="Arial" w:eastAsia="楷体_GB2312" w:hAnsi="Arial" w:cs="楷体_GB2312" w:hint="eastAsia"/>
        </w:rPr>
        <w:t>的高管薪酬水平相对较低，年薪均值在</w:t>
      </w:r>
      <w:r>
        <w:rPr>
          <w:rFonts w:ascii="Arial" w:eastAsia="楷体_GB2312" w:hAnsi="Arial" w:cs="Arial"/>
        </w:rPr>
        <w:t>40</w:t>
      </w:r>
      <w:r w:rsidRPr="00B806A7">
        <w:rPr>
          <w:rFonts w:ascii="Arial" w:eastAsia="楷体_GB2312" w:hAnsi="Arial" w:cs="楷体_GB2312" w:hint="eastAsia"/>
        </w:rPr>
        <w:t>万元至</w:t>
      </w:r>
      <w:r>
        <w:rPr>
          <w:rFonts w:ascii="Arial" w:eastAsia="楷体_GB2312" w:hAnsi="Arial" w:cs="Arial"/>
        </w:rPr>
        <w:t>50</w:t>
      </w:r>
      <w:r>
        <w:rPr>
          <w:rFonts w:ascii="Arial" w:eastAsia="楷体_GB2312" w:hAnsi="Arial" w:cs="楷体_GB2312" w:hint="eastAsia"/>
        </w:rPr>
        <w:t>万元左右</w:t>
      </w:r>
      <w:r w:rsidRPr="00B806A7">
        <w:rPr>
          <w:rFonts w:ascii="Arial" w:eastAsia="楷体_GB2312" w:hAnsi="Arial" w:cs="楷体_GB2312" w:hint="eastAsia"/>
        </w:rPr>
        <w:t>；而金融保险业、房地产业和建筑业的高管薪酬水平较高，尤其是金融保险业，其高管薪酬均值</w:t>
      </w:r>
      <w:r>
        <w:rPr>
          <w:rFonts w:ascii="Arial" w:eastAsia="楷体_GB2312" w:hAnsi="Arial" w:cs="楷体_GB2312" w:hint="eastAsia"/>
        </w:rPr>
        <w:t>为</w:t>
      </w:r>
      <w:r>
        <w:rPr>
          <w:rFonts w:ascii="Arial" w:eastAsia="楷体_GB2312" w:hAnsi="Arial" w:cs="Arial"/>
        </w:rPr>
        <w:t>198.45</w:t>
      </w:r>
      <w:r>
        <w:rPr>
          <w:rFonts w:ascii="Arial" w:eastAsia="楷体_GB2312" w:hAnsi="Arial" w:cs="楷体_GB2312" w:hint="eastAsia"/>
        </w:rPr>
        <w:t>万元</w:t>
      </w:r>
      <w:r w:rsidRPr="00B806A7">
        <w:rPr>
          <w:rFonts w:ascii="Arial" w:eastAsia="楷体_GB2312" w:hAnsi="Arial" w:cs="楷体_GB2312" w:hint="eastAsia"/>
        </w:rPr>
        <w:t>，是全省上市公司高管薪酬均值的</w:t>
      </w:r>
      <w:r>
        <w:rPr>
          <w:rFonts w:ascii="Arial" w:eastAsia="楷体_GB2312" w:hAnsi="Arial" w:cs="Arial"/>
        </w:rPr>
        <w:t>3</w:t>
      </w:r>
      <w:r>
        <w:rPr>
          <w:rFonts w:ascii="Arial" w:eastAsia="楷体_GB2312" w:hAnsi="Arial" w:cs="楷体_GB2312" w:hint="eastAsia"/>
        </w:rPr>
        <w:t>倍多。联合咨询中心发现</w:t>
      </w:r>
      <w:r w:rsidRPr="00B806A7">
        <w:rPr>
          <w:rFonts w:ascii="Arial" w:eastAsia="楷体_GB2312" w:hAnsi="Arial" w:cs="楷体_GB2312" w:hint="eastAsia"/>
        </w:rPr>
        <w:t>，高管薪酬水平处于高位的行业薪酬继续攀高，处于低位的行业薪酬水平并没有得到较大的提升，两者存在显著差异。</w:t>
      </w:r>
    </w:p>
    <w:p w:rsidR="00DA0843" w:rsidRPr="00B806A7" w:rsidRDefault="00DA0843" w:rsidP="00370B4F">
      <w:pPr>
        <w:spacing w:beforeLines="50"/>
        <w:ind w:firstLineChars="200" w:firstLine="31680"/>
        <w:rPr>
          <w:rFonts w:ascii="Arial" w:eastAsia="楷体_GB2312" w:hAnsi="Arial" w:cs="Times New Roman"/>
        </w:rPr>
      </w:pPr>
      <w:r>
        <w:rPr>
          <w:rFonts w:ascii="Arial" w:eastAsia="楷体_GB2312" w:hAnsi="Arial" w:cs="楷体_GB2312" w:hint="eastAsia"/>
        </w:rPr>
        <w:t>与全国各行业高管薪酬的均值相比较，江苏省多数行业高管薪酬水平低于全国水平，金融保险业、批发和零售贸易、交通运输仓储业、传播与文化产业、制造业、综合类等行业上市公司的高管薪酬水平皆不及全国均值。</w:t>
      </w:r>
    </w:p>
    <w:p w:rsidR="00DA0843" w:rsidRPr="00EF298D" w:rsidRDefault="00DA0843" w:rsidP="008D4B5F">
      <w:pPr>
        <w:spacing w:beforeLines="50"/>
        <w:outlineLvl w:val="1"/>
        <w:rPr>
          <w:rFonts w:ascii="Arial" w:eastAsia="楷体_GB2312" w:hAnsi="Arial" w:cs="Times New Roman"/>
          <w:b/>
          <w:bCs/>
          <w:sz w:val="22"/>
          <w:szCs w:val="22"/>
        </w:rPr>
      </w:pPr>
      <w:bookmarkStart w:id="4" w:name="_Toc332381631"/>
      <w:r>
        <w:rPr>
          <w:rFonts w:ascii="Arial" w:eastAsia="楷体_GB2312" w:hAnsi="Arial" w:cs="楷体_GB2312" w:hint="eastAsia"/>
          <w:b/>
          <w:bCs/>
          <w:sz w:val="22"/>
          <w:szCs w:val="22"/>
        </w:rPr>
        <w:t>省内比较：</w:t>
      </w:r>
      <w:r w:rsidRPr="00EF298D">
        <w:rPr>
          <w:rFonts w:ascii="Arial" w:eastAsia="楷体_GB2312" w:hAnsi="Arial" w:cs="楷体_GB2312" w:hint="eastAsia"/>
          <w:b/>
          <w:bCs/>
          <w:sz w:val="22"/>
          <w:szCs w:val="22"/>
        </w:rPr>
        <w:t>苏北地区高管薪酬占据高位，徐州最高、泰州最低</w:t>
      </w:r>
      <w:bookmarkEnd w:id="4"/>
    </w:p>
    <w:p w:rsidR="00DA0843" w:rsidRPr="00B260BD" w:rsidRDefault="00DA0843" w:rsidP="00370B4F">
      <w:pPr>
        <w:spacing w:beforeLines="50"/>
        <w:ind w:firstLineChars="200" w:firstLine="31680"/>
        <w:rPr>
          <w:rFonts w:ascii="Arial" w:eastAsia="楷体_GB2312" w:hAnsi="Arial" w:cs="Times New Roman"/>
        </w:rPr>
      </w:pPr>
      <w:r w:rsidRPr="00B260BD">
        <w:rPr>
          <w:rFonts w:ascii="Arial" w:eastAsia="楷体_GB2312" w:hAnsi="Arial" w:cs="Arial"/>
        </w:rPr>
        <w:t>201</w:t>
      </w:r>
      <w:r>
        <w:rPr>
          <w:rFonts w:ascii="Arial" w:eastAsia="楷体_GB2312" w:hAnsi="Arial" w:cs="Arial"/>
        </w:rPr>
        <w:t>2</w:t>
      </w:r>
      <w:r w:rsidRPr="00B260BD">
        <w:rPr>
          <w:rFonts w:ascii="Arial" w:eastAsia="楷体_GB2312" w:hAnsi="Arial" w:cs="楷体_GB2312" w:hint="eastAsia"/>
        </w:rPr>
        <w:t>年江苏省高管薪酬平均水平排前三位的城市为</w:t>
      </w:r>
      <w:r>
        <w:rPr>
          <w:rFonts w:ascii="Arial" w:eastAsia="楷体_GB2312" w:hAnsi="Arial" w:cs="楷体_GB2312" w:hint="eastAsia"/>
        </w:rPr>
        <w:t>徐州、常州和南京</w:t>
      </w:r>
      <w:r w:rsidRPr="00B260BD">
        <w:rPr>
          <w:rFonts w:ascii="Arial" w:eastAsia="楷体_GB2312" w:hAnsi="Arial" w:cs="楷体_GB2312" w:hint="eastAsia"/>
        </w:rPr>
        <w:t>，高管薪酬均值分别为</w:t>
      </w:r>
      <w:r>
        <w:rPr>
          <w:rFonts w:ascii="Arial" w:eastAsia="楷体_GB2312" w:hAnsi="Arial" w:cs="Arial"/>
        </w:rPr>
        <w:t>83.11</w:t>
      </w:r>
      <w:r w:rsidRPr="00B260BD">
        <w:rPr>
          <w:rFonts w:ascii="Arial" w:eastAsia="楷体_GB2312" w:hAnsi="Arial" w:cs="楷体_GB2312" w:hint="eastAsia"/>
        </w:rPr>
        <w:t>万元、</w:t>
      </w:r>
      <w:r>
        <w:rPr>
          <w:rFonts w:ascii="Arial" w:eastAsia="楷体_GB2312" w:hAnsi="Arial" w:cs="Arial"/>
        </w:rPr>
        <w:t>66.20</w:t>
      </w:r>
      <w:r w:rsidRPr="00B260BD">
        <w:rPr>
          <w:rFonts w:ascii="Arial" w:eastAsia="楷体_GB2312" w:hAnsi="Arial" w:cs="楷体_GB2312" w:hint="eastAsia"/>
        </w:rPr>
        <w:t>万元和</w:t>
      </w:r>
      <w:r>
        <w:rPr>
          <w:rFonts w:ascii="Arial" w:eastAsia="楷体_GB2312" w:hAnsi="Arial" w:cs="Arial"/>
        </w:rPr>
        <w:t>65.74</w:t>
      </w:r>
      <w:r w:rsidRPr="00B260BD">
        <w:rPr>
          <w:rFonts w:ascii="Arial" w:eastAsia="楷体_GB2312" w:hAnsi="Arial" w:cs="楷体_GB2312" w:hint="eastAsia"/>
        </w:rPr>
        <w:t>万元，而高管薪酬平均水平最低的城市为泰州，高管薪酬均值仅为</w:t>
      </w:r>
      <w:r>
        <w:rPr>
          <w:rFonts w:ascii="Arial" w:eastAsia="楷体_GB2312" w:hAnsi="Arial" w:cs="Arial"/>
        </w:rPr>
        <w:t>34.73</w:t>
      </w:r>
      <w:r w:rsidRPr="00B260BD">
        <w:rPr>
          <w:rFonts w:ascii="Arial" w:eastAsia="楷体_GB2312" w:hAnsi="Arial" w:cs="楷体_GB2312" w:hint="eastAsia"/>
        </w:rPr>
        <w:t>万元。</w:t>
      </w:r>
    </w:p>
    <w:p w:rsidR="00DA0843" w:rsidRPr="00B260BD" w:rsidRDefault="00DA0843" w:rsidP="00CD4E43">
      <w:pPr>
        <w:spacing w:beforeLines="50"/>
        <w:ind w:firstLineChars="200" w:firstLine="31680"/>
        <w:rPr>
          <w:rFonts w:ascii="Arial" w:eastAsia="楷体_GB2312" w:hAnsi="Arial" w:cs="Times New Roman"/>
        </w:rPr>
      </w:pPr>
      <w:r w:rsidRPr="00B260BD">
        <w:rPr>
          <w:rFonts w:ascii="Arial" w:eastAsia="楷体_GB2312" w:hAnsi="Arial" w:cs="楷体_GB2312" w:hint="eastAsia"/>
        </w:rPr>
        <w:t>从薪酬变化上来看，自</w:t>
      </w:r>
      <w:r w:rsidRPr="00B260BD">
        <w:rPr>
          <w:rFonts w:ascii="Arial" w:eastAsia="楷体_GB2312" w:hAnsi="Arial" w:cs="Arial"/>
        </w:rPr>
        <w:t>2008</w:t>
      </w:r>
      <w:r w:rsidRPr="00B260BD">
        <w:rPr>
          <w:rFonts w:ascii="Arial" w:eastAsia="楷体_GB2312" w:hAnsi="Arial" w:cs="楷体_GB2312" w:hint="eastAsia"/>
        </w:rPr>
        <w:t>年至</w:t>
      </w:r>
      <w:r w:rsidRPr="00B260BD">
        <w:rPr>
          <w:rFonts w:ascii="Arial" w:eastAsia="楷体_GB2312" w:hAnsi="Arial" w:cs="Arial"/>
        </w:rPr>
        <w:t>201</w:t>
      </w:r>
      <w:r>
        <w:rPr>
          <w:rFonts w:ascii="Arial" w:eastAsia="楷体_GB2312" w:hAnsi="Arial" w:cs="Arial"/>
        </w:rPr>
        <w:t>2</w:t>
      </w:r>
      <w:r w:rsidRPr="00B260BD">
        <w:rPr>
          <w:rFonts w:ascii="Arial" w:eastAsia="楷体_GB2312" w:hAnsi="Arial" w:cs="楷体_GB2312" w:hint="eastAsia"/>
        </w:rPr>
        <w:t>年，泰州</w:t>
      </w:r>
      <w:r>
        <w:rPr>
          <w:rFonts w:ascii="Arial" w:eastAsia="楷体_GB2312" w:hAnsi="Arial" w:cs="楷体_GB2312" w:hint="eastAsia"/>
        </w:rPr>
        <w:t>、徐州和南通</w:t>
      </w:r>
      <w:r w:rsidRPr="00B260BD">
        <w:rPr>
          <w:rFonts w:ascii="Arial" w:eastAsia="楷体_GB2312" w:hAnsi="Arial" w:cs="楷体_GB2312" w:hint="eastAsia"/>
        </w:rPr>
        <w:t>三城市高管薪酬年均复合增长率分别为</w:t>
      </w:r>
      <w:r>
        <w:rPr>
          <w:rFonts w:ascii="Arial" w:eastAsia="楷体_GB2312" w:hAnsi="Arial" w:cs="Arial"/>
        </w:rPr>
        <w:t>45</w:t>
      </w:r>
      <w:r w:rsidRPr="00B260BD">
        <w:rPr>
          <w:rFonts w:ascii="Arial" w:eastAsia="楷体_GB2312" w:hAnsi="Arial" w:cs="Arial"/>
        </w:rPr>
        <w:t>%</w:t>
      </w:r>
      <w:r w:rsidRPr="00B260BD">
        <w:rPr>
          <w:rFonts w:ascii="Arial" w:eastAsia="楷体_GB2312" w:hAnsi="Arial" w:cs="楷体_GB2312" w:hint="eastAsia"/>
        </w:rPr>
        <w:t>、</w:t>
      </w:r>
      <w:r>
        <w:rPr>
          <w:rFonts w:ascii="Arial" w:eastAsia="楷体_GB2312" w:hAnsi="Arial" w:cs="Arial"/>
        </w:rPr>
        <w:t>22</w:t>
      </w:r>
      <w:r w:rsidRPr="00B260BD">
        <w:rPr>
          <w:rFonts w:ascii="Arial" w:eastAsia="楷体_GB2312" w:hAnsi="Arial" w:cs="Arial"/>
        </w:rPr>
        <w:t>%</w:t>
      </w:r>
      <w:r w:rsidRPr="00B260BD">
        <w:rPr>
          <w:rFonts w:ascii="Arial" w:eastAsia="楷体_GB2312" w:hAnsi="Arial" w:cs="楷体_GB2312" w:hint="eastAsia"/>
        </w:rPr>
        <w:t>和</w:t>
      </w:r>
      <w:r>
        <w:rPr>
          <w:rFonts w:ascii="Arial" w:eastAsia="楷体_GB2312" w:hAnsi="Arial" w:cs="Arial"/>
        </w:rPr>
        <w:t>20</w:t>
      </w:r>
      <w:r w:rsidRPr="00B260BD">
        <w:rPr>
          <w:rFonts w:ascii="Arial" w:eastAsia="楷体_GB2312" w:hAnsi="Arial" w:cs="Arial"/>
        </w:rPr>
        <w:t>%</w:t>
      </w:r>
      <w:r>
        <w:rPr>
          <w:rFonts w:ascii="Arial" w:eastAsia="楷体_GB2312" w:hAnsi="Arial" w:cs="楷体_GB2312" w:hint="eastAsia"/>
        </w:rPr>
        <w:t>。但无锡、扬州</w:t>
      </w:r>
      <w:r w:rsidRPr="00B260BD">
        <w:rPr>
          <w:rFonts w:ascii="Arial" w:eastAsia="楷体_GB2312" w:hAnsi="Arial" w:cs="楷体_GB2312" w:hint="eastAsia"/>
        </w:rPr>
        <w:t>等市高管薪酬年均增长减慢，年均增长</w:t>
      </w:r>
      <w:r>
        <w:rPr>
          <w:rFonts w:ascii="Arial" w:eastAsia="楷体_GB2312" w:hAnsi="Arial" w:cs="楷体_GB2312" w:hint="eastAsia"/>
        </w:rPr>
        <w:t>皆在</w:t>
      </w:r>
      <w:r>
        <w:rPr>
          <w:rFonts w:ascii="Arial" w:eastAsia="楷体_GB2312" w:hAnsi="Arial" w:cs="Arial"/>
        </w:rPr>
        <w:t>6</w:t>
      </w:r>
      <w:r w:rsidRPr="00B260BD">
        <w:rPr>
          <w:rFonts w:ascii="Arial" w:eastAsia="楷体_GB2312" w:hAnsi="Arial" w:cs="Arial"/>
        </w:rPr>
        <w:t>%</w:t>
      </w:r>
      <w:r>
        <w:rPr>
          <w:rFonts w:ascii="Arial" w:eastAsia="楷体_GB2312" w:hAnsi="Arial" w:cs="楷体_GB2312" w:hint="eastAsia"/>
        </w:rPr>
        <w:t>左右</w:t>
      </w:r>
      <w:r w:rsidRPr="00B260BD">
        <w:rPr>
          <w:rFonts w:ascii="Arial" w:eastAsia="楷体_GB2312" w:hAnsi="Arial" w:cs="楷体_GB2312" w:hint="eastAsia"/>
        </w:rPr>
        <w:t>，不同城市之间高管薪酬年均增长幅度差距较大。</w:t>
      </w:r>
    </w:p>
    <w:p w:rsidR="00DA0843" w:rsidRPr="00B260BD" w:rsidRDefault="00DA0843" w:rsidP="00370B4F">
      <w:pPr>
        <w:spacing w:beforeLines="50"/>
        <w:ind w:firstLineChars="200" w:firstLine="31680"/>
        <w:rPr>
          <w:rFonts w:ascii="Arial" w:eastAsia="楷体_GB2312" w:hAnsi="Arial" w:cs="Times New Roman"/>
        </w:rPr>
      </w:pPr>
      <w:r w:rsidRPr="00B260BD">
        <w:rPr>
          <w:rFonts w:ascii="Arial" w:eastAsia="楷体_GB2312" w:hAnsi="Arial" w:cs="楷体_GB2312" w:hint="eastAsia"/>
        </w:rPr>
        <w:t>此外，苏北七市</w:t>
      </w:r>
      <w:r w:rsidRPr="00B260BD">
        <w:rPr>
          <w:rStyle w:val="FootnoteReference"/>
          <w:rFonts w:ascii="Arial" w:eastAsia="楷体_GB2312" w:hAnsi="Arial" w:cs="Times New Roman"/>
        </w:rPr>
        <w:footnoteReference w:id="4"/>
      </w:r>
      <w:r w:rsidRPr="00B260BD">
        <w:rPr>
          <w:rFonts w:ascii="Arial" w:eastAsia="楷体_GB2312" w:hAnsi="Arial" w:cs="楷体_GB2312" w:hint="eastAsia"/>
        </w:rPr>
        <w:t>高管薪酬年均增长率为</w:t>
      </w:r>
      <w:r w:rsidRPr="00B260BD">
        <w:rPr>
          <w:rFonts w:ascii="Arial" w:eastAsia="楷体_GB2312" w:hAnsi="Arial" w:cs="Arial"/>
        </w:rPr>
        <w:t>21%</w:t>
      </w:r>
      <w:r w:rsidRPr="00B260BD">
        <w:rPr>
          <w:rFonts w:ascii="Arial" w:eastAsia="楷体_GB2312" w:hAnsi="Arial" w:cs="楷体_GB2312" w:hint="eastAsia"/>
        </w:rPr>
        <w:t>，而苏南五市</w:t>
      </w:r>
      <w:r w:rsidRPr="00B260BD">
        <w:rPr>
          <w:rStyle w:val="FootnoteReference"/>
          <w:rFonts w:ascii="Arial" w:eastAsia="楷体_GB2312" w:hAnsi="Arial" w:cs="Times New Roman"/>
        </w:rPr>
        <w:footnoteReference w:id="5"/>
      </w:r>
      <w:r w:rsidRPr="00B260BD">
        <w:rPr>
          <w:rFonts w:ascii="Arial" w:eastAsia="楷体_GB2312" w:hAnsi="Arial" w:cs="楷体_GB2312" w:hint="eastAsia"/>
        </w:rPr>
        <w:t>高管薪酬年均增长率仅为</w:t>
      </w:r>
      <w:r w:rsidRPr="00B260BD">
        <w:rPr>
          <w:rFonts w:ascii="Arial" w:eastAsia="楷体_GB2312" w:hAnsi="Arial" w:cs="Arial"/>
        </w:rPr>
        <w:t>1</w:t>
      </w:r>
      <w:r>
        <w:rPr>
          <w:rFonts w:ascii="Arial" w:eastAsia="楷体_GB2312" w:hAnsi="Arial" w:cs="Arial"/>
        </w:rPr>
        <w:t>1</w:t>
      </w:r>
      <w:r w:rsidRPr="00B260BD">
        <w:rPr>
          <w:rFonts w:ascii="Arial" w:eastAsia="楷体_GB2312" w:hAnsi="Arial" w:cs="Arial"/>
        </w:rPr>
        <w:t>%</w:t>
      </w:r>
      <w:r w:rsidRPr="00B260BD">
        <w:rPr>
          <w:rFonts w:ascii="Arial" w:eastAsia="楷体_GB2312" w:hAnsi="Arial" w:cs="楷体_GB2312" w:hint="eastAsia"/>
        </w:rPr>
        <w:t>，苏南地区高管薪酬年均增幅比苏北地区小。</w:t>
      </w:r>
    </w:p>
    <w:p w:rsidR="00DA0843" w:rsidRPr="00EF298D" w:rsidRDefault="00DA0843" w:rsidP="008D4B5F">
      <w:pPr>
        <w:spacing w:beforeLines="50"/>
        <w:outlineLvl w:val="1"/>
        <w:rPr>
          <w:rFonts w:ascii="Arial" w:eastAsia="楷体_GB2312" w:hAnsi="Arial" w:cs="Times New Roman"/>
          <w:b/>
          <w:bCs/>
          <w:sz w:val="22"/>
          <w:szCs w:val="22"/>
        </w:rPr>
      </w:pPr>
      <w:bookmarkStart w:id="5" w:name="_Toc332381632"/>
      <w:r>
        <w:rPr>
          <w:rFonts w:ascii="Arial" w:eastAsia="楷体_GB2312" w:hAnsi="Arial" w:cs="楷体_GB2312" w:hint="eastAsia"/>
          <w:b/>
          <w:bCs/>
          <w:sz w:val="22"/>
          <w:szCs w:val="22"/>
        </w:rPr>
        <w:t>所有制比较：</w:t>
      </w:r>
      <w:r w:rsidRPr="00EF298D">
        <w:rPr>
          <w:rFonts w:ascii="Arial" w:eastAsia="楷体_GB2312" w:hAnsi="Arial" w:cs="楷体_GB2312" w:hint="eastAsia"/>
          <w:b/>
          <w:bCs/>
          <w:sz w:val="22"/>
          <w:szCs w:val="22"/>
        </w:rPr>
        <w:t>国有控股上市公司高管薪酬逐渐赶超非国有控股上市公司</w:t>
      </w:r>
      <w:bookmarkEnd w:id="5"/>
    </w:p>
    <w:p w:rsidR="00DA0843" w:rsidRDefault="00DA0843" w:rsidP="00370B4F">
      <w:pPr>
        <w:spacing w:beforeLines="50"/>
        <w:ind w:firstLineChars="200" w:firstLine="31680"/>
        <w:rPr>
          <w:rFonts w:ascii="Arial" w:eastAsia="楷体_GB2312" w:hAnsi="Arial" w:cs="Times New Roman"/>
        </w:rPr>
      </w:pPr>
      <w:r>
        <w:rPr>
          <w:rFonts w:ascii="Arial" w:eastAsia="楷体_GB2312" w:hAnsi="Arial" w:cs="楷体_GB2312" w:hint="eastAsia"/>
        </w:rPr>
        <w:t>从</w:t>
      </w:r>
      <w:r>
        <w:rPr>
          <w:rFonts w:ascii="Arial" w:eastAsia="楷体_GB2312" w:hAnsi="Arial" w:cs="Arial"/>
        </w:rPr>
        <w:t>2008</w:t>
      </w:r>
      <w:r>
        <w:rPr>
          <w:rFonts w:ascii="Arial" w:eastAsia="楷体_GB2312" w:hAnsi="Arial" w:cs="楷体_GB2312" w:hint="eastAsia"/>
        </w:rPr>
        <w:t>年至</w:t>
      </w:r>
      <w:r>
        <w:rPr>
          <w:rFonts w:ascii="Arial" w:eastAsia="楷体_GB2312" w:hAnsi="Arial" w:cs="Arial"/>
        </w:rPr>
        <w:t>2012</w:t>
      </w:r>
      <w:r>
        <w:rPr>
          <w:rFonts w:ascii="Arial" w:eastAsia="楷体_GB2312" w:hAnsi="Arial" w:cs="楷体_GB2312" w:hint="eastAsia"/>
        </w:rPr>
        <w:t>年五年间江苏省国有控股上市公司和非国有控股上市公司的高管薪酬平均水平来看，两者均呈现逐年上涨的规律，并且前者的上涨幅度高于后者。</w:t>
      </w:r>
    </w:p>
    <w:p w:rsidR="00DA0843" w:rsidRDefault="00DA0843" w:rsidP="00370B4F">
      <w:pPr>
        <w:spacing w:beforeLines="50"/>
        <w:ind w:firstLineChars="200" w:firstLine="31680"/>
        <w:rPr>
          <w:rFonts w:ascii="Arial" w:eastAsia="楷体_GB2312" w:hAnsi="Arial" w:cs="Times New Roman"/>
        </w:rPr>
      </w:pPr>
      <w:r>
        <w:rPr>
          <w:rFonts w:ascii="Arial" w:eastAsia="楷体_GB2312" w:hAnsi="Arial" w:cs="Arial"/>
        </w:rPr>
        <w:t>2008</w:t>
      </w:r>
      <w:r>
        <w:rPr>
          <w:rFonts w:ascii="Arial" w:eastAsia="楷体_GB2312" w:hAnsi="Arial" w:cs="楷体_GB2312" w:hint="eastAsia"/>
        </w:rPr>
        <w:t>年、</w:t>
      </w:r>
      <w:r>
        <w:rPr>
          <w:rFonts w:ascii="Arial" w:eastAsia="楷体_GB2312" w:hAnsi="Arial" w:cs="Arial"/>
        </w:rPr>
        <w:t>2009</w:t>
      </w:r>
      <w:r>
        <w:rPr>
          <w:rFonts w:ascii="Arial" w:eastAsia="楷体_GB2312" w:hAnsi="Arial" w:cs="楷体_GB2312" w:hint="eastAsia"/>
        </w:rPr>
        <w:t>年，江苏省国有控股上市公司高管薪酬分别为</w:t>
      </w:r>
      <w:r>
        <w:rPr>
          <w:rFonts w:ascii="Arial" w:eastAsia="楷体_GB2312" w:hAnsi="Arial" w:cs="Arial"/>
        </w:rPr>
        <w:t>35.2</w:t>
      </w:r>
      <w:r>
        <w:rPr>
          <w:rFonts w:ascii="Arial" w:eastAsia="楷体_GB2312" w:hAnsi="Arial" w:cs="楷体_GB2312" w:hint="eastAsia"/>
        </w:rPr>
        <w:t>、</w:t>
      </w:r>
      <w:r>
        <w:rPr>
          <w:rFonts w:ascii="Arial" w:eastAsia="楷体_GB2312" w:hAnsi="Arial" w:cs="Arial"/>
        </w:rPr>
        <w:t>40.15</w:t>
      </w:r>
      <w:r>
        <w:rPr>
          <w:rFonts w:ascii="Arial" w:eastAsia="楷体_GB2312" w:hAnsi="Arial" w:cs="楷体_GB2312" w:hint="eastAsia"/>
        </w:rPr>
        <w:t>万元，皆低于非国有控股上市公司水平。</w:t>
      </w:r>
    </w:p>
    <w:p w:rsidR="00DA0843" w:rsidRDefault="00DA0843" w:rsidP="00370B4F">
      <w:pPr>
        <w:spacing w:beforeLines="50"/>
        <w:ind w:firstLineChars="200" w:firstLine="31680"/>
        <w:rPr>
          <w:rFonts w:ascii="Arial" w:eastAsia="楷体_GB2312" w:hAnsi="Arial" w:cs="Times New Roman"/>
        </w:rPr>
      </w:pPr>
      <w:r>
        <w:rPr>
          <w:rFonts w:ascii="Arial" w:eastAsia="楷体_GB2312" w:hAnsi="Arial" w:cs="楷体_GB2312" w:hint="eastAsia"/>
        </w:rPr>
        <w:t>到</w:t>
      </w:r>
      <w:r>
        <w:rPr>
          <w:rFonts w:ascii="Arial" w:eastAsia="楷体_GB2312" w:hAnsi="Arial" w:cs="Arial"/>
        </w:rPr>
        <w:t>2010</w:t>
      </w:r>
      <w:r>
        <w:rPr>
          <w:rFonts w:ascii="Arial" w:eastAsia="楷体_GB2312" w:hAnsi="Arial" w:cs="楷体_GB2312" w:hint="eastAsia"/>
        </w:rPr>
        <w:t>年、</w:t>
      </w:r>
      <w:r>
        <w:rPr>
          <w:rFonts w:ascii="Arial" w:eastAsia="楷体_GB2312" w:hAnsi="Arial" w:cs="Arial"/>
        </w:rPr>
        <w:t>2011</w:t>
      </w:r>
      <w:r>
        <w:rPr>
          <w:rFonts w:ascii="Arial" w:eastAsia="楷体_GB2312" w:hAnsi="Arial" w:cs="楷体_GB2312" w:hint="eastAsia"/>
        </w:rPr>
        <w:t>年和</w:t>
      </w:r>
      <w:r>
        <w:rPr>
          <w:rFonts w:ascii="Arial" w:eastAsia="楷体_GB2312" w:hAnsi="Arial" w:cs="Arial"/>
        </w:rPr>
        <w:t>2012</w:t>
      </w:r>
      <w:r>
        <w:rPr>
          <w:rFonts w:ascii="Arial" w:eastAsia="楷体_GB2312" w:hAnsi="Arial" w:cs="楷体_GB2312" w:hint="eastAsia"/>
        </w:rPr>
        <w:t>年，国有控股上市公司高管薪酬均值超过</w:t>
      </w:r>
      <w:r w:rsidRPr="001E6075">
        <w:rPr>
          <w:rFonts w:ascii="Arial" w:eastAsia="楷体_GB2312" w:hAnsi="Arial" w:cs="楷体_GB2312" w:hint="eastAsia"/>
        </w:rPr>
        <w:t>非国有控股上市公司</w:t>
      </w:r>
      <w:r>
        <w:rPr>
          <w:rFonts w:ascii="Arial" w:eastAsia="楷体_GB2312" w:hAnsi="Arial" w:cs="楷体_GB2312" w:hint="eastAsia"/>
        </w:rPr>
        <w:t>高管薪酬，达到</w:t>
      </w:r>
      <w:r>
        <w:rPr>
          <w:rFonts w:ascii="Arial" w:eastAsia="楷体_GB2312" w:hAnsi="Arial" w:cs="Arial"/>
        </w:rPr>
        <w:t>52.87</w:t>
      </w:r>
      <w:r>
        <w:rPr>
          <w:rFonts w:ascii="Arial" w:eastAsia="楷体_GB2312" w:hAnsi="Arial" w:cs="楷体_GB2312" w:hint="eastAsia"/>
        </w:rPr>
        <w:t>万元、</w:t>
      </w:r>
      <w:r>
        <w:rPr>
          <w:rFonts w:ascii="Arial" w:eastAsia="楷体_GB2312" w:hAnsi="Arial" w:cs="Arial"/>
        </w:rPr>
        <w:t>59.35</w:t>
      </w:r>
      <w:r>
        <w:rPr>
          <w:rFonts w:ascii="Arial" w:eastAsia="楷体_GB2312" w:hAnsi="Arial" w:cs="楷体_GB2312" w:hint="eastAsia"/>
        </w:rPr>
        <w:t>万元以及</w:t>
      </w:r>
      <w:r>
        <w:rPr>
          <w:rFonts w:ascii="Arial" w:eastAsia="楷体_GB2312" w:hAnsi="Arial" w:cs="Arial"/>
        </w:rPr>
        <w:t>61.96</w:t>
      </w:r>
      <w:r>
        <w:rPr>
          <w:rFonts w:ascii="Arial" w:eastAsia="楷体_GB2312" w:hAnsi="Arial" w:cs="楷体_GB2312" w:hint="eastAsia"/>
        </w:rPr>
        <w:t>万元，同期非国有上市公司仅为</w:t>
      </w:r>
      <w:r>
        <w:rPr>
          <w:rFonts w:ascii="Arial" w:eastAsia="楷体_GB2312" w:hAnsi="Arial" w:cs="Arial"/>
        </w:rPr>
        <w:t>47.54</w:t>
      </w:r>
      <w:r>
        <w:rPr>
          <w:rFonts w:ascii="Arial" w:eastAsia="楷体_GB2312" w:hAnsi="Arial" w:cs="楷体_GB2312" w:hint="eastAsia"/>
        </w:rPr>
        <w:t>万元、</w:t>
      </w:r>
      <w:r>
        <w:rPr>
          <w:rFonts w:ascii="Arial" w:eastAsia="楷体_GB2312" w:hAnsi="Arial" w:cs="Arial"/>
        </w:rPr>
        <w:t>53.55</w:t>
      </w:r>
      <w:r>
        <w:rPr>
          <w:rFonts w:ascii="Arial" w:eastAsia="楷体_GB2312" w:hAnsi="Arial" w:cs="楷体_GB2312" w:hint="eastAsia"/>
        </w:rPr>
        <w:t>万元和</w:t>
      </w:r>
      <w:r>
        <w:rPr>
          <w:rFonts w:ascii="Arial" w:eastAsia="楷体_GB2312" w:hAnsi="Arial" w:cs="Arial"/>
        </w:rPr>
        <w:t>56.26</w:t>
      </w:r>
      <w:r>
        <w:rPr>
          <w:rFonts w:ascii="Arial" w:eastAsia="楷体_GB2312" w:hAnsi="Arial" w:cs="楷体_GB2312" w:hint="eastAsia"/>
        </w:rPr>
        <w:t>万元。</w:t>
      </w:r>
    </w:p>
    <w:p w:rsidR="00DA0843" w:rsidRDefault="00DA0843" w:rsidP="00370B4F">
      <w:pPr>
        <w:spacing w:beforeLines="50"/>
        <w:ind w:firstLineChars="200" w:firstLine="31680"/>
        <w:rPr>
          <w:rFonts w:ascii="Arial" w:eastAsia="楷体_GB2312" w:hAnsi="Arial" w:cs="Times New Roman"/>
        </w:rPr>
      </w:pPr>
      <w:r>
        <w:rPr>
          <w:rFonts w:ascii="Arial" w:eastAsia="楷体_GB2312" w:hAnsi="Arial" w:cs="楷体_GB2312" w:hint="eastAsia"/>
        </w:rPr>
        <w:t>五年间，非国有控股上市公司高管薪酬均值平均增幅为</w:t>
      </w:r>
      <w:r>
        <w:rPr>
          <w:rFonts w:ascii="Arial" w:eastAsia="楷体_GB2312" w:hAnsi="Arial" w:cs="Arial"/>
        </w:rPr>
        <w:t>9.19%</w:t>
      </w:r>
      <w:r>
        <w:rPr>
          <w:rFonts w:ascii="Arial" w:eastAsia="楷体_GB2312" w:hAnsi="Arial" w:cs="楷体_GB2312" w:hint="eastAsia"/>
        </w:rPr>
        <w:t>，而</w:t>
      </w:r>
      <w:r w:rsidRPr="00C05B9D">
        <w:rPr>
          <w:rFonts w:ascii="Arial" w:eastAsia="楷体_GB2312" w:hAnsi="Arial" w:cs="楷体_GB2312" w:hint="eastAsia"/>
        </w:rPr>
        <w:t>国有控股上市公司高管薪酬均值</w:t>
      </w:r>
      <w:r>
        <w:rPr>
          <w:rFonts w:ascii="Arial" w:eastAsia="楷体_GB2312" w:hAnsi="Arial" w:cs="楷体_GB2312" w:hint="eastAsia"/>
        </w:rPr>
        <w:t>的</w:t>
      </w:r>
      <w:r w:rsidRPr="00C05B9D">
        <w:rPr>
          <w:rFonts w:ascii="Arial" w:eastAsia="楷体_GB2312" w:hAnsi="Arial" w:cs="楷体_GB2312" w:hint="eastAsia"/>
        </w:rPr>
        <w:t>平均增幅</w:t>
      </w:r>
      <w:r>
        <w:rPr>
          <w:rFonts w:ascii="Arial" w:eastAsia="楷体_GB2312" w:hAnsi="Arial" w:cs="楷体_GB2312" w:hint="eastAsia"/>
        </w:rPr>
        <w:t>则达到</w:t>
      </w:r>
      <w:r>
        <w:rPr>
          <w:rFonts w:ascii="Arial" w:eastAsia="楷体_GB2312" w:hAnsi="Arial" w:cs="Arial"/>
        </w:rPr>
        <w:t>15.18%</w:t>
      </w:r>
      <w:r>
        <w:rPr>
          <w:rFonts w:ascii="Arial" w:eastAsia="楷体_GB2312" w:hAnsi="Arial" w:cs="楷体_GB2312" w:hint="eastAsia"/>
        </w:rPr>
        <w:t>。</w:t>
      </w:r>
    </w:p>
    <w:p w:rsidR="00DA0843" w:rsidRPr="00EF298D" w:rsidRDefault="00DA0843" w:rsidP="008D4B5F">
      <w:pPr>
        <w:spacing w:beforeLines="50"/>
        <w:outlineLvl w:val="1"/>
        <w:rPr>
          <w:rFonts w:ascii="Arial" w:eastAsia="楷体_GB2312" w:hAnsi="Arial" w:cs="Times New Roman"/>
          <w:b/>
          <w:bCs/>
          <w:sz w:val="22"/>
          <w:szCs w:val="22"/>
        </w:rPr>
      </w:pPr>
      <w:bookmarkStart w:id="6" w:name="_Toc332381634"/>
      <w:r>
        <w:rPr>
          <w:rFonts w:ascii="Arial" w:eastAsia="楷体_GB2312" w:hAnsi="Arial" w:cs="楷体_GB2312" w:hint="eastAsia"/>
          <w:b/>
          <w:bCs/>
          <w:sz w:val="22"/>
          <w:szCs w:val="22"/>
        </w:rPr>
        <w:t>与业绩关联：江苏</w:t>
      </w:r>
      <w:r w:rsidRPr="00EF298D">
        <w:rPr>
          <w:rFonts w:ascii="Arial" w:eastAsia="楷体_GB2312" w:hAnsi="Arial" w:cs="楷体_GB2312" w:hint="eastAsia"/>
          <w:b/>
          <w:bCs/>
          <w:sz w:val="22"/>
          <w:szCs w:val="22"/>
        </w:rPr>
        <w:t>上市公司高管薪酬与经营业绩</w:t>
      </w:r>
      <w:bookmarkEnd w:id="6"/>
      <w:r w:rsidRPr="00EF298D">
        <w:rPr>
          <w:rFonts w:ascii="Arial" w:eastAsia="楷体_GB2312" w:hAnsi="Arial" w:cs="楷体_GB2312" w:hint="eastAsia"/>
          <w:b/>
          <w:bCs/>
          <w:sz w:val="22"/>
          <w:szCs w:val="22"/>
        </w:rPr>
        <w:t>有一定的相关度</w:t>
      </w:r>
    </w:p>
    <w:p w:rsidR="00DA0843" w:rsidRPr="00B260BD" w:rsidRDefault="00DA0843" w:rsidP="00CD4E43">
      <w:pPr>
        <w:spacing w:beforeLines="50"/>
        <w:ind w:firstLineChars="200" w:firstLine="31680"/>
        <w:rPr>
          <w:rFonts w:ascii="Arial" w:eastAsia="楷体_GB2312" w:hAnsi="Arial" w:cs="Times New Roman"/>
        </w:rPr>
      </w:pPr>
      <w:bookmarkStart w:id="7" w:name="_Toc332381635"/>
      <w:r w:rsidRPr="00B260BD">
        <w:rPr>
          <w:rFonts w:ascii="Arial" w:eastAsia="楷体_GB2312" w:hAnsi="Arial" w:cs="Arial"/>
        </w:rPr>
        <w:t>201</w:t>
      </w:r>
      <w:r>
        <w:rPr>
          <w:rFonts w:ascii="Arial" w:eastAsia="楷体_GB2312" w:hAnsi="Arial" w:cs="Arial"/>
        </w:rPr>
        <w:t>2</w:t>
      </w:r>
      <w:r>
        <w:rPr>
          <w:rFonts w:ascii="Arial" w:eastAsia="楷体_GB2312" w:hAnsi="Arial" w:cs="楷体_GB2312" w:hint="eastAsia"/>
        </w:rPr>
        <w:t>年江苏省上市公司总体发展较上年有所下降</w:t>
      </w:r>
      <w:r w:rsidRPr="00B260BD">
        <w:rPr>
          <w:rFonts w:ascii="Arial" w:eastAsia="楷体_GB2312" w:hAnsi="Arial" w:cs="楷体_GB2312" w:hint="eastAsia"/>
        </w:rPr>
        <w:t>。</w:t>
      </w:r>
    </w:p>
    <w:p w:rsidR="00DA0843" w:rsidRPr="00B260BD" w:rsidRDefault="00DA0843" w:rsidP="00370B4F">
      <w:pPr>
        <w:spacing w:beforeLines="50"/>
        <w:ind w:firstLineChars="200" w:firstLine="31680"/>
        <w:rPr>
          <w:rFonts w:ascii="Arial" w:eastAsia="楷体_GB2312" w:hAnsi="Arial" w:cs="Times New Roman"/>
        </w:rPr>
      </w:pPr>
      <w:r w:rsidRPr="00B260BD">
        <w:rPr>
          <w:rFonts w:ascii="Arial" w:eastAsia="楷体_GB2312" w:hAnsi="Arial" w:cs="楷体_GB2312" w:hint="eastAsia"/>
        </w:rPr>
        <w:t>从公司经营业绩角度看，</w:t>
      </w:r>
      <w:r w:rsidRPr="00B260BD">
        <w:rPr>
          <w:rFonts w:ascii="Arial" w:eastAsia="楷体_GB2312" w:hAnsi="Arial" w:cs="Arial"/>
        </w:rPr>
        <w:t>201</w:t>
      </w:r>
      <w:r>
        <w:rPr>
          <w:rFonts w:ascii="Arial" w:eastAsia="楷体_GB2312" w:hAnsi="Arial" w:cs="Arial"/>
        </w:rPr>
        <w:t>2</w:t>
      </w:r>
      <w:r w:rsidRPr="00B260BD">
        <w:rPr>
          <w:rFonts w:ascii="Arial" w:eastAsia="楷体_GB2312" w:hAnsi="Arial" w:cs="楷体_GB2312" w:hint="eastAsia"/>
        </w:rPr>
        <w:t>年江苏省上市公司平均创造营业收入</w:t>
      </w:r>
      <w:r>
        <w:rPr>
          <w:rFonts w:ascii="Arial" w:eastAsia="楷体_GB2312" w:hAnsi="Arial" w:cs="Arial"/>
        </w:rPr>
        <w:t>32.98</w:t>
      </w:r>
      <w:r w:rsidRPr="00B260BD">
        <w:rPr>
          <w:rFonts w:ascii="Arial" w:eastAsia="楷体_GB2312" w:hAnsi="Arial" w:cs="楷体_GB2312" w:hint="eastAsia"/>
        </w:rPr>
        <w:t>亿元，比</w:t>
      </w:r>
      <w:r>
        <w:rPr>
          <w:rFonts w:ascii="Arial" w:eastAsia="楷体_GB2312" w:hAnsi="Arial" w:cs="Arial"/>
        </w:rPr>
        <w:t>2011</w:t>
      </w:r>
      <w:r>
        <w:rPr>
          <w:rFonts w:ascii="Arial" w:eastAsia="楷体_GB2312" w:hAnsi="Arial" w:cs="楷体_GB2312" w:hint="eastAsia"/>
        </w:rPr>
        <w:t>年降低</w:t>
      </w:r>
      <w:r w:rsidRPr="00B260BD">
        <w:rPr>
          <w:rFonts w:ascii="Arial" w:eastAsia="楷体_GB2312" w:hAnsi="Arial" w:cs="楷体_GB2312" w:hint="eastAsia"/>
        </w:rPr>
        <w:t>了</w:t>
      </w:r>
      <w:r>
        <w:rPr>
          <w:rFonts w:ascii="Arial" w:eastAsia="楷体_GB2312" w:hAnsi="Arial" w:cs="Arial"/>
        </w:rPr>
        <w:t>7.72</w:t>
      </w:r>
      <w:r w:rsidRPr="00B260BD">
        <w:rPr>
          <w:rFonts w:ascii="Arial" w:eastAsia="楷体_GB2312" w:hAnsi="Arial" w:cs="Arial"/>
        </w:rPr>
        <w:t>%</w:t>
      </w:r>
      <w:r w:rsidRPr="00B260BD">
        <w:rPr>
          <w:rFonts w:ascii="Arial" w:eastAsia="楷体_GB2312" w:hAnsi="Arial" w:cs="楷体_GB2312" w:hint="eastAsia"/>
        </w:rPr>
        <w:t>；年均创造净利润</w:t>
      </w:r>
      <w:r>
        <w:rPr>
          <w:rFonts w:ascii="Arial" w:eastAsia="楷体_GB2312" w:hAnsi="Arial" w:cs="Arial"/>
        </w:rPr>
        <w:t>1.82</w:t>
      </w:r>
      <w:r w:rsidRPr="00B260BD">
        <w:rPr>
          <w:rFonts w:ascii="Arial" w:eastAsia="楷体_GB2312" w:hAnsi="Arial" w:cs="楷体_GB2312" w:hint="eastAsia"/>
        </w:rPr>
        <w:t>亿元，相比</w:t>
      </w:r>
      <w:r w:rsidRPr="00B260BD">
        <w:rPr>
          <w:rFonts w:ascii="Arial" w:eastAsia="楷体_GB2312" w:hAnsi="Arial" w:cs="Arial"/>
        </w:rPr>
        <w:t>201</w:t>
      </w:r>
      <w:r>
        <w:rPr>
          <w:rFonts w:ascii="Arial" w:eastAsia="楷体_GB2312" w:hAnsi="Arial" w:cs="Arial"/>
        </w:rPr>
        <w:t>1</w:t>
      </w:r>
      <w:r w:rsidRPr="00B260BD">
        <w:rPr>
          <w:rFonts w:ascii="Arial" w:eastAsia="楷体_GB2312" w:hAnsi="Arial" w:cs="楷体_GB2312" w:hint="eastAsia"/>
        </w:rPr>
        <w:t>年</w:t>
      </w:r>
      <w:r w:rsidRPr="00B260BD">
        <w:rPr>
          <w:rFonts w:ascii="Arial" w:eastAsia="楷体_GB2312" w:hAnsi="Arial" w:cs="Arial"/>
        </w:rPr>
        <w:t>2.2</w:t>
      </w:r>
      <w:r>
        <w:rPr>
          <w:rFonts w:ascii="Arial" w:eastAsia="楷体_GB2312" w:hAnsi="Arial" w:cs="Arial"/>
        </w:rPr>
        <w:t>3</w:t>
      </w:r>
      <w:r w:rsidRPr="00B260BD">
        <w:rPr>
          <w:rFonts w:ascii="Arial" w:eastAsia="楷体_GB2312" w:hAnsi="Arial" w:cs="楷体_GB2312" w:hint="eastAsia"/>
        </w:rPr>
        <w:t>亿元</w:t>
      </w:r>
      <w:r>
        <w:rPr>
          <w:rFonts w:ascii="Arial" w:eastAsia="楷体_GB2312" w:hAnsi="Arial" w:cs="楷体_GB2312" w:hint="eastAsia"/>
        </w:rPr>
        <w:t>也有了较大幅度的</w:t>
      </w:r>
      <w:r w:rsidRPr="00B260BD">
        <w:rPr>
          <w:rFonts w:ascii="Arial" w:eastAsia="楷体_GB2312" w:hAnsi="Arial" w:cs="楷体_GB2312" w:hint="eastAsia"/>
        </w:rPr>
        <w:t>回落</w:t>
      </w:r>
      <w:r>
        <w:rPr>
          <w:rFonts w:ascii="Arial" w:eastAsia="楷体_GB2312" w:hAnsi="Arial" w:cs="楷体_GB2312" w:hint="eastAsia"/>
        </w:rPr>
        <w:t>，降幅达到</w:t>
      </w:r>
      <w:r>
        <w:rPr>
          <w:rFonts w:ascii="Arial" w:eastAsia="楷体_GB2312" w:hAnsi="Arial" w:cs="Arial"/>
        </w:rPr>
        <w:t>18.39%</w:t>
      </w:r>
      <w:r w:rsidRPr="00B260BD">
        <w:rPr>
          <w:rFonts w:ascii="Arial" w:eastAsia="楷体_GB2312" w:hAnsi="Arial" w:cs="楷体_GB2312" w:hint="eastAsia"/>
        </w:rPr>
        <w:t>。</w:t>
      </w:r>
    </w:p>
    <w:p w:rsidR="00DA0843" w:rsidRPr="00A67AD5" w:rsidRDefault="00DA0843" w:rsidP="00370B4F">
      <w:pPr>
        <w:spacing w:beforeLines="50"/>
        <w:ind w:firstLineChars="200" w:firstLine="31680"/>
        <w:rPr>
          <w:rFonts w:ascii="Arial" w:eastAsia="楷体_GB2312" w:hAnsi="Arial" w:cs="Times New Roman"/>
          <w:color w:val="FF0000"/>
        </w:rPr>
      </w:pPr>
      <w:r w:rsidRPr="00B260BD">
        <w:rPr>
          <w:rFonts w:ascii="Arial" w:eastAsia="楷体_GB2312" w:hAnsi="Arial" w:cs="楷体_GB2312" w:hint="eastAsia"/>
        </w:rPr>
        <w:t>为了探索高管薪酬与公司业绩是否存在一定的相关性，</w:t>
      </w:r>
      <w:r>
        <w:rPr>
          <w:rFonts w:ascii="Arial" w:eastAsia="楷体_GB2312" w:hAnsi="Arial" w:cs="楷体_GB2312" w:hint="eastAsia"/>
        </w:rPr>
        <w:t>联合咨询中心</w:t>
      </w:r>
      <w:r w:rsidRPr="00B260BD">
        <w:rPr>
          <w:rFonts w:ascii="Arial" w:eastAsia="楷体_GB2312" w:hAnsi="Arial" w:cs="楷体_GB2312" w:hint="eastAsia"/>
        </w:rPr>
        <w:t>通过相关性分析高管薪酬与业绩表现之间的关系</w:t>
      </w:r>
      <w:r>
        <w:rPr>
          <w:rFonts w:ascii="Arial" w:eastAsia="楷体_GB2312" w:hAnsi="Arial" w:cs="楷体_GB2312" w:hint="eastAsia"/>
        </w:rPr>
        <w:t>，</w:t>
      </w:r>
      <w:r w:rsidRPr="00B260BD">
        <w:rPr>
          <w:rFonts w:ascii="Arial" w:eastAsia="楷体_GB2312" w:hAnsi="Arial" w:cs="楷体_GB2312" w:hint="eastAsia"/>
        </w:rPr>
        <w:t>发现：江苏省上市公司高管薪酬与营业收入、净利润</w:t>
      </w:r>
      <w:r>
        <w:rPr>
          <w:rFonts w:ascii="Arial" w:eastAsia="楷体_GB2312" w:hAnsi="Arial" w:cs="楷体_GB2312" w:hint="eastAsia"/>
        </w:rPr>
        <w:t>和每股收益</w:t>
      </w:r>
      <w:r w:rsidRPr="00B260BD">
        <w:rPr>
          <w:rFonts w:ascii="Arial" w:eastAsia="楷体_GB2312" w:hAnsi="Arial" w:cs="楷体_GB2312" w:hint="eastAsia"/>
        </w:rPr>
        <w:t>之间的有明显的相关性，但影响系数非常小，而上市公司高管薪酬与净资产收益率则没有相关</w:t>
      </w:r>
      <w:r>
        <w:rPr>
          <w:rFonts w:ascii="Arial" w:eastAsia="楷体_GB2312" w:hAnsi="Arial" w:cs="楷体_GB2312" w:hint="eastAsia"/>
        </w:rPr>
        <w:t>性</w:t>
      </w:r>
      <w:r w:rsidRPr="00B260BD">
        <w:rPr>
          <w:rFonts w:ascii="Arial" w:eastAsia="楷体_GB2312" w:hAnsi="Arial" w:cs="楷体_GB2312" w:hint="eastAsia"/>
        </w:rPr>
        <w:t>。</w:t>
      </w:r>
    </w:p>
    <w:p w:rsidR="00DA0843" w:rsidRPr="00393F3B" w:rsidRDefault="00DA0843" w:rsidP="008D4B5F">
      <w:pPr>
        <w:spacing w:beforeLines="50"/>
        <w:outlineLvl w:val="1"/>
        <w:rPr>
          <w:rFonts w:ascii="Arial" w:eastAsia="楷体_GB2312" w:hAnsi="Arial" w:cs="Times New Roman"/>
          <w:b/>
          <w:bCs/>
          <w:sz w:val="22"/>
          <w:szCs w:val="22"/>
        </w:rPr>
      </w:pPr>
      <w:r w:rsidRPr="00393F3B">
        <w:rPr>
          <w:rFonts w:ascii="Arial" w:eastAsia="楷体_GB2312" w:hAnsi="Arial" w:cs="楷体_GB2312" w:hint="eastAsia"/>
          <w:b/>
          <w:bCs/>
          <w:sz w:val="22"/>
          <w:szCs w:val="22"/>
        </w:rPr>
        <w:t>股权激励：</w:t>
      </w:r>
      <w:r>
        <w:rPr>
          <w:rFonts w:ascii="Arial" w:eastAsia="楷体_GB2312" w:hAnsi="Arial" w:cs="楷体_GB2312" w:hint="eastAsia"/>
          <w:b/>
          <w:bCs/>
          <w:sz w:val="22"/>
          <w:szCs w:val="22"/>
        </w:rPr>
        <w:t>江苏</w:t>
      </w:r>
      <w:r w:rsidRPr="00393F3B">
        <w:rPr>
          <w:rFonts w:ascii="Arial" w:eastAsia="楷体_GB2312" w:hAnsi="Arial" w:cs="Arial"/>
          <w:b/>
          <w:bCs/>
          <w:sz w:val="22"/>
          <w:szCs w:val="22"/>
        </w:rPr>
        <w:t>12%</w:t>
      </w:r>
      <w:r w:rsidRPr="00393F3B">
        <w:rPr>
          <w:rFonts w:ascii="Arial" w:eastAsia="楷体_GB2312" w:hAnsi="Arial" w:cs="楷体_GB2312" w:hint="eastAsia"/>
          <w:b/>
          <w:bCs/>
          <w:sz w:val="22"/>
          <w:szCs w:val="22"/>
        </w:rPr>
        <w:t>上市公司实施股权激励</w:t>
      </w:r>
      <w:bookmarkEnd w:id="7"/>
      <w:r w:rsidRPr="00393F3B">
        <w:rPr>
          <w:rFonts w:ascii="Arial" w:eastAsia="楷体_GB2312" w:hAnsi="Arial" w:cs="楷体_GB2312" w:hint="eastAsia"/>
          <w:b/>
          <w:bCs/>
          <w:sz w:val="22"/>
          <w:szCs w:val="22"/>
        </w:rPr>
        <w:t>，股票期权为主要实施工具</w:t>
      </w:r>
    </w:p>
    <w:p w:rsidR="00DA0843" w:rsidRPr="00B260BD" w:rsidRDefault="00DA0843" w:rsidP="00370B4F">
      <w:pPr>
        <w:spacing w:beforeLines="50" w:line="276" w:lineRule="auto"/>
        <w:ind w:firstLineChars="200" w:firstLine="31680"/>
        <w:rPr>
          <w:rFonts w:ascii="Arial" w:eastAsia="楷体_GB2312" w:hAnsi="Arial" w:cs="Times New Roman"/>
        </w:rPr>
      </w:pPr>
      <w:r w:rsidRPr="00B260BD">
        <w:rPr>
          <w:rFonts w:ascii="Arial" w:eastAsia="楷体_GB2312" w:hAnsi="Arial" w:cs="楷体_GB2312" w:hint="eastAsia"/>
        </w:rPr>
        <w:t>江苏地区上市公司一共有</w:t>
      </w:r>
      <w:r>
        <w:rPr>
          <w:rFonts w:ascii="Arial" w:eastAsia="楷体_GB2312" w:hAnsi="Arial" w:cs="Arial"/>
        </w:rPr>
        <w:t>43</w:t>
      </w:r>
      <w:r>
        <w:rPr>
          <w:rFonts w:ascii="Arial" w:eastAsia="楷体_GB2312" w:hAnsi="Arial" w:cs="楷体_GB2312" w:hint="eastAsia"/>
        </w:rPr>
        <w:t>家公司推出过</w:t>
      </w:r>
      <w:r w:rsidRPr="00B260BD">
        <w:rPr>
          <w:rFonts w:ascii="Arial" w:eastAsia="楷体_GB2312" w:hAnsi="Arial" w:cs="楷体_GB2312" w:hint="eastAsia"/>
        </w:rPr>
        <w:t>股权激励</w:t>
      </w:r>
      <w:r>
        <w:rPr>
          <w:rStyle w:val="FootnoteReference"/>
          <w:rFonts w:ascii="Arial" w:eastAsia="楷体_GB2312" w:hAnsi="Arial" w:cs="Times New Roman"/>
        </w:rPr>
        <w:footnoteReference w:id="6"/>
      </w:r>
      <w:r>
        <w:rPr>
          <w:rFonts w:ascii="Arial" w:eastAsia="楷体_GB2312" w:hAnsi="Arial" w:cs="楷体_GB2312" w:hint="eastAsia"/>
        </w:rPr>
        <w:t>计划</w:t>
      </w:r>
      <w:r w:rsidRPr="00B260BD">
        <w:rPr>
          <w:rFonts w:ascii="Arial" w:eastAsia="楷体_GB2312" w:hAnsi="Arial" w:cs="楷体_GB2312" w:hint="eastAsia"/>
        </w:rPr>
        <w:t>，占江苏省上市公司总数</w:t>
      </w:r>
      <w:r>
        <w:rPr>
          <w:rFonts w:ascii="Arial" w:eastAsia="楷体_GB2312" w:hAnsi="Arial" w:cs="Arial"/>
        </w:rPr>
        <w:t>18.29</w:t>
      </w:r>
      <w:r w:rsidRPr="00B260BD">
        <w:rPr>
          <w:rFonts w:ascii="Arial" w:eastAsia="楷体_GB2312" w:hAnsi="Arial" w:cs="Arial"/>
        </w:rPr>
        <w:t>%</w:t>
      </w:r>
      <w:r>
        <w:rPr>
          <w:rFonts w:ascii="Arial" w:eastAsia="楷体_GB2312" w:hAnsi="Arial" w:cs="楷体_GB2312" w:hint="eastAsia"/>
        </w:rPr>
        <w:t>，这些公司共推出</w:t>
      </w:r>
      <w:r>
        <w:rPr>
          <w:rFonts w:ascii="Arial" w:eastAsia="楷体_GB2312" w:hAnsi="Arial" w:cs="Arial"/>
        </w:rPr>
        <w:t>50</w:t>
      </w:r>
      <w:r>
        <w:rPr>
          <w:rFonts w:ascii="Arial" w:eastAsia="楷体_GB2312" w:hAnsi="Arial" w:cs="楷体_GB2312" w:hint="eastAsia"/>
        </w:rPr>
        <w:t>份股权激励计划，其中新海宜、金智科技、</w:t>
      </w:r>
      <w:r w:rsidRPr="00B260BD">
        <w:rPr>
          <w:rFonts w:ascii="Arial" w:eastAsia="楷体_GB2312" w:hAnsi="Arial" w:cs="楷体_GB2312" w:hint="eastAsia"/>
        </w:rPr>
        <w:t>新宁物流、燃控科技</w:t>
      </w:r>
      <w:r>
        <w:rPr>
          <w:rFonts w:ascii="Arial" w:eastAsia="楷体_GB2312" w:hAnsi="Arial" w:cs="楷体_GB2312" w:hint="eastAsia"/>
        </w:rPr>
        <w:t>和宏图高科推出</w:t>
      </w:r>
      <w:r w:rsidRPr="00B260BD">
        <w:rPr>
          <w:rFonts w:ascii="Arial" w:eastAsia="楷体_GB2312" w:hAnsi="Arial" w:cs="楷体_GB2312" w:hint="eastAsia"/>
        </w:rPr>
        <w:t>了两次方案</w:t>
      </w:r>
      <w:r>
        <w:rPr>
          <w:rFonts w:ascii="Arial" w:eastAsia="楷体_GB2312" w:hAnsi="Arial" w:cs="楷体_GB2312" w:hint="eastAsia"/>
        </w:rPr>
        <w:t>，苏宁云商则推出了三期方案</w:t>
      </w:r>
      <w:r w:rsidRPr="00B260BD">
        <w:rPr>
          <w:rFonts w:ascii="Arial" w:eastAsia="楷体_GB2312" w:hAnsi="Arial" w:cs="楷体_GB2312" w:hint="eastAsia"/>
        </w:rPr>
        <w:t>。</w:t>
      </w:r>
      <w:r w:rsidRPr="0061787A">
        <w:rPr>
          <w:rFonts w:ascii="Arial" w:eastAsia="楷体_GB2312" w:hAnsi="Arial" w:cs="楷体_GB2312" w:hint="eastAsia"/>
        </w:rPr>
        <w:t>除去未通过、停止实施以及还处于董事会预案、股东大会通过阶段的预案，目前正在实施股权激励的公司共</w:t>
      </w:r>
      <w:r w:rsidRPr="0061787A">
        <w:rPr>
          <w:rFonts w:ascii="Arial" w:eastAsia="楷体_GB2312" w:hAnsi="Arial" w:cs="Arial"/>
        </w:rPr>
        <w:t>28</w:t>
      </w:r>
      <w:r w:rsidRPr="0061787A">
        <w:rPr>
          <w:rFonts w:ascii="Arial" w:eastAsia="楷体_GB2312" w:hAnsi="Arial" w:cs="楷体_GB2312" w:hint="eastAsia"/>
        </w:rPr>
        <w:t>家，占上市公司总数的</w:t>
      </w:r>
      <w:r w:rsidRPr="0061787A">
        <w:rPr>
          <w:rFonts w:ascii="Arial" w:eastAsia="楷体_GB2312" w:hAnsi="Arial" w:cs="Arial"/>
        </w:rPr>
        <w:t>11.9%</w:t>
      </w:r>
      <w:r>
        <w:rPr>
          <w:rFonts w:ascii="Arial" w:eastAsia="楷体_GB2312" w:hAnsi="Arial" w:cs="楷体_GB2312" w:hint="eastAsia"/>
        </w:rPr>
        <w:t>。在所有推出的方案中，</w:t>
      </w:r>
      <w:r>
        <w:rPr>
          <w:rFonts w:ascii="Arial" w:eastAsia="楷体_GB2312" w:hAnsi="Arial" w:cs="Arial"/>
        </w:rPr>
        <w:t>42</w:t>
      </w:r>
      <w:r w:rsidRPr="00B260BD">
        <w:rPr>
          <w:rFonts w:ascii="Arial" w:eastAsia="楷体_GB2312" w:hAnsi="Arial" w:cs="Arial"/>
        </w:rPr>
        <w:t>%</w:t>
      </w:r>
      <w:r w:rsidRPr="00B260BD">
        <w:rPr>
          <w:rFonts w:ascii="Arial" w:eastAsia="楷体_GB2312" w:hAnsi="Arial" w:cs="楷体_GB2312" w:hint="eastAsia"/>
        </w:rPr>
        <w:t>选择限制性股票作为实施工具，</w:t>
      </w:r>
      <w:r>
        <w:rPr>
          <w:rFonts w:ascii="Arial" w:eastAsia="楷体_GB2312" w:hAnsi="Arial" w:cs="Arial"/>
        </w:rPr>
        <w:t>58</w:t>
      </w:r>
      <w:r w:rsidRPr="00B260BD">
        <w:rPr>
          <w:rFonts w:ascii="Arial" w:eastAsia="楷体_GB2312" w:hAnsi="Arial" w:cs="Arial"/>
        </w:rPr>
        <w:t>%</w:t>
      </w:r>
      <w:r w:rsidRPr="00B260BD">
        <w:rPr>
          <w:rFonts w:ascii="Arial" w:eastAsia="楷体_GB2312" w:hAnsi="Arial" w:cs="楷体_GB2312" w:hint="eastAsia"/>
        </w:rPr>
        <w:t>选择股票期权作为实施工具。</w:t>
      </w:r>
    </w:p>
    <w:p w:rsidR="00DA0843" w:rsidRPr="00541E1A" w:rsidRDefault="00DA0843" w:rsidP="00370B4F">
      <w:pPr>
        <w:spacing w:beforeLines="50" w:line="276" w:lineRule="auto"/>
        <w:ind w:firstLineChars="200" w:firstLine="31680"/>
        <w:rPr>
          <w:rFonts w:ascii="Arial" w:eastAsia="楷体_GB2312" w:hAnsi="Arial" w:cs="Times New Roman"/>
        </w:rPr>
      </w:pPr>
      <w:r w:rsidRPr="00541E1A">
        <w:rPr>
          <w:rFonts w:ascii="Arial" w:eastAsia="楷体_GB2312" w:hAnsi="Arial" w:cs="楷体_GB2312" w:hint="eastAsia"/>
        </w:rPr>
        <w:t>江苏地区上市公司近年来已经基本建立了高管薪酬的体制，薪酬总额也保持者稳步增长。</w:t>
      </w:r>
      <w:r>
        <w:rPr>
          <w:rFonts w:ascii="Arial" w:eastAsia="楷体_GB2312" w:hAnsi="Arial" w:cs="楷体_GB2312" w:hint="eastAsia"/>
        </w:rPr>
        <w:t>近年来</w:t>
      </w:r>
      <w:r w:rsidRPr="00541E1A">
        <w:rPr>
          <w:rFonts w:ascii="Arial" w:eastAsia="楷体_GB2312" w:hAnsi="Arial" w:cs="楷体_GB2312" w:hint="eastAsia"/>
        </w:rPr>
        <w:t>，江苏地区上市公司</w:t>
      </w:r>
      <w:r>
        <w:rPr>
          <w:rFonts w:ascii="Arial" w:eastAsia="楷体_GB2312" w:hAnsi="Arial" w:cs="楷体_GB2312" w:hint="eastAsia"/>
        </w:rPr>
        <w:t>在高管薪酬的长期激励方面予以了较高的重视，股权激励计划推出的数量逐年递增。</w:t>
      </w:r>
      <w:r w:rsidRPr="00541E1A">
        <w:rPr>
          <w:rFonts w:ascii="Arial" w:eastAsia="楷体_GB2312" w:hAnsi="Arial" w:cs="楷体_GB2312" w:hint="eastAsia"/>
        </w:rPr>
        <w:t>但目前江苏地区的高管薪酬体系</w:t>
      </w:r>
      <w:r>
        <w:rPr>
          <w:rFonts w:ascii="Arial" w:eastAsia="楷体_GB2312" w:hAnsi="Arial" w:cs="楷体_GB2312" w:hint="eastAsia"/>
        </w:rPr>
        <w:t>中</w:t>
      </w:r>
      <w:r w:rsidRPr="00541E1A">
        <w:rPr>
          <w:rFonts w:ascii="Arial" w:eastAsia="楷体_GB2312" w:hAnsi="Arial" w:cs="楷体_GB2312" w:hint="eastAsia"/>
        </w:rPr>
        <w:t>以现金模式为主</w:t>
      </w:r>
      <w:r>
        <w:rPr>
          <w:rFonts w:ascii="Arial" w:eastAsia="楷体_GB2312" w:hAnsi="Arial" w:cs="楷体_GB2312" w:hint="eastAsia"/>
        </w:rPr>
        <w:t>上市公司的依然占到较大比例</w:t>
      </w:r>
      <w:r w:rsidRPr="00541E1A">
        <w:rPr>
          <w:rFonts w:ascii="Arial" w:eastAsia="楷体_GB2312" w:hAnsi="Arial" w:cs="楷体_GB2312" w:hint="eastAsia"/>
        </w:rPr>
        <w:t>，薪酬结构</w:t>
      </w:r>
      <w:r>
        <w:rPr>
          <w:rFonts w:ascii="Arial" w:eastAsia="楷体_GB2312" w:hAnsi="Arial" w:cs="楷体_GB2312" w:hint="eastAsia"/>
        </w:rPr>
        <w:t>仍</w:t>
      </w:r>
      <w:r w:rsidRPr="00541E1A">
        <w:rPr>
          <w:rFonts w:ascii="Arial" w:eastAsia="楷体_GB2312" w:hAnsi="Arial" w:cs="楷体_GB2312" w:hint="eastAsia"/>
        </w:rPr>
        <w:t>待</w:t>
      </w:r>
      <w:r>
        <w:rPr>
          <w:rFonts w:ascii="Arial" w:eastAsia="楷体_GB2312" w:hAnsi="Arial" w:cs="楷体_GB2312" w:hint="eastAsia"/>
        </w:rPr>
        <w:t>进一步</w:t>
      </w:r>
      <w:r w:rsidRPr="00541E1A">
        <w:rPr>
          <w:rFonts w:ascii="Arial" w:eastAsia="楷体_GB2312" w:hAnsi="Arial" w:cs="楷体_GB2312" w:hint="eastAsia"/>
        </w:rPr>
        <w:t>完善。</w:t>
      </w:r>
    </w:p>
    <w:p w:rsidR="00DA0843" w:rsidRPr="008F3C6B" w:rsidRDefault="00DA0843" w:rsidP="008D4B5F">
      <w:pPr>
        <w:spacing w:beforeLines="50" w:line="276" w:lineRule="auto"/>
        <w:outlineLvl w:val="0"/>
        <w:rPr>
          <w:rFonts w:ascii="Arial" w:eastAsia="楷体_GB2312" w:hAnsi="Arial" w:cs="Times New Roman"/>
          <w:b/>
          <w:bCs/>
          <w:sz w:val="24"/>
          <w:szCs w:val="24"/>
        </w:rPr>
      </w:pPr>
      <w:r>
        <w:rPr>
          <w:rFonts w:ascii="Arial" w:eastAsia="楷体_GB2312" w:hAnsi="Arial" w:cs="楷体_GB2312" w:hint="eastAsia"/>
          <w:b/>
          <w:bCs/>
          <w:sz w:val="24"/>
          <w:szCs w:val="24"/>
        </w:rPr>
        <w:t>江苏地区上市公司</w:t>
      </w:r>
      <w:r w:rsidRPr="008F3C6B">
        <w:rPr>
          <w:rFonts w:ascii="Arial" w:eastAsia="楷体_GB2312" w:hAnsi="Arial" w:cs="楷体_GB2312" w:hint="eastAsia"/>
          <w:b/>
          <w:bCs/>
          <w:sz w:val="24"/>
          <w:szCs w:val="24"/>
        </w:rPr>
        <w:t>高管薪酬激励程度</w:t>
      </w:r>
    </w:p>
    <w:p w:rsidR="00DA0843" w:rsidRPr="008A665E" w:rsidRDefault="00DA0843" w:rsidP="00370B4F">
      <w:pPr>
        <w:spacing w:beforeLines="50"/>
        <w:ind w:firstLineChars="200" w:firstLine="31680"/>
        <w:rPr>
          <w:rFonts w:ascii="Arial" w:eastAsia="楷体_GB2312" w:hAnsi="Arial" w:cs="Times New Roman"/>
          <w:sz w:val="18"/>
          <w:szCs w:val="18"/>
        </w:rPr>
      </w:pPr>
      <w:r>
        <w:rPr>
          <w:rFonts w:ascii="Arial" w:eastAsia="楷体_GB2312" w:hAnsi="Arial" w:cs="楷体_GB2312" w:hint="eastAsia"/>
        </w:rPr>
        <w:t>联合咨询中心</w:t>
      </w:r>
      <w:r w:rsidRPr="008A665E">
        <w:rPr>
          <w:rFonts w:ascii="楷体_GB2312" w:eastAsia="楷体_GB2312" w:hAnsi="宋体" w:cs="楷体_GB2312" w:hint="eastAsia"/>
        </w:rPr>
        <w:t>高管薪酬咨询中心，历时</w:t>
      </w:r>
      <w:r>
        <w:rPr>
          <w:rFonts w:ascii="Arial" w:eastAsia="楷体_GB2312" w:hAnsi="Arial" w:cs="Arial"/>
        </w:rPr>
        <w:t>7</w:t>
      </w:r>
      <w:r w:rsidRPr="008A665E">
        <w:rPr>
          <w:rFonts w:ascii="Arial" w:eastAsia="楷体_GB2312" w:hAnsi="Arial" w:cs="楷体_GB2312" w:hint="eastAsia"/>
        </w:rPr>
        <w:t>年时间，收集</w:t>
      </w:r>
      <w:r>
        <w:rPr>
          <w:rFonts w:ascii="Arial" w:eastAsia="楷体_GB2312" w:hAnsi="Arial" w:cs="Arial"/>
        </w:rPr>
        <w:t>2006~2012</w:t>
      </w:r>
      <w:r w:rsidRPr="008A665E">
        <w:rPr>
          <w:rFonts w:ascii="Arial" w:eastAsia="楷体_GB2312" w:hAnsi="Arial" w:cs="楷体_GB2312" w:hint="eastAsia"/>
        </w:rPr>
        <w:t>年上市公司数据以及全国各地区、行业相关数据，有效挖掘数据内在意义和价值，充分尊重市场内在逻辑，将理论与实证相结合，寻找出真正影响高管薪酬水平的因素及其内在关联，建构出当前中国上市公司高管薪酬水平市场标杆模型，为我国上市公司高管薪酬水平定价和管理提供重要参照。</w:t>
      </w:r>
    </w:p>
    <w:p w:rsidR="00DA0843" w:rsidRPr="008A665E" w:rsidRDefault="00DA0843" w:rsidP="00370B4F">
      <w:pPr>
        <w:spacing w:beforeLines="50"/>
        <w:ind w:firstLineChars="200" w:firstLine="31680"/>
        <w:rPr>
          <w:rFonts w:ascii="Arial" w:eastAsia="楷体_GB2312" w:hAnsi="Arial" w:cs="Times New Roman"/>
        </w:rPr>
      </w:pPr>
      <w:r w:rsidRPr="008A665E">
        <w:rPr>
          <w:rFonts w:ascii="Arial" w:eastAsia="楷体_GB2312" w:hAnsi="Arial" w:cs="楷体_GB2312" w:hint="eastAsia"/>
        </w:rPr>
        <w:t>经实证分析，</w:t>
      </w:r>
      <w:r>
        <w:rPr>
          <w:rFonts w:ascii="Arial" w:eastAsia="楷体_GB2312" w:hAnsi="Arial" w:cs="楷体_GB2312" w:hint="eastAsia"/>
        </w:rPr>
        <w:t>联合咨询中心对</w:t>
      </w:r>
      <w:r w:rsidRPr="008A665E">
        <w:rPr>
          <w:rFonts w:ascii="Arial" w:eastAsia="楷体_GB2312" w:hAnsi="Arial" w:cs="Arial"/>
        </w:rPr>
        <w:t>2008</w:t>
      </w:r>
      <w:r>
        <w:rPr>
          <w:rFonts w:ascii="Arial" w:eastAsia="楷体_GB2312" w:hAnsi="Arial" w:cs="Arial"/>
        </w:rPr>
        <w:t>-2012</w:t>
      </w:r>
      <w:r>
        <w:rPr>
          <w:rFonts w:ascii="Arial" w:eastAsia="楷体_GB2312" w:hAnsi="Arial" w:cs="楷体_GB2312" w:hint="eastAsia"/>
        </w:rPr>
        <w:t>年五</w:t>
      </w:r>
      <w:r w:rsidRPr="008A665E">
        <w:rPr>
          <w:rFonts w:ascii="Arial" w:eastAsia="楷体_GB2312" w:hAnsi="Arial" w:cs="楷体_GB2312" w:hint="eastAsia"/>
        </w:rPr>
        <w:t>年上市公司薪酬和其他数据进行研究，充分挖掘出当前影响上市公司高管薪酬水平的主要因素，并通过</w:t>
      </w:r>
      <w:r>
        <w:rPr>
          <w:rFonts w:ascii="Arial" w:eastAsia="楷体_GB2312" w:hAnsi="Arial" w:cs="楷体_GB2312" w:hint="eastAsia"/>
        </w:rPr>
        <w:t>岭回归</w:t>
      </w:r>
      <w:r w:rsidRPr="008A665E">
        <w:rPr>
          <w:rFonts w:ascii="Arial" w:eastAsia="楷体_GB2312" w:hAnsi="Arial" w:cs="楷体_GB2312" w:hint="eastAsia"/>
        </w:rPr>
        <w:t>分析和多次检验，最终得到我国上市公司高管薪酬水平的市场标杆模型：</w:t>
      </w:r>
    </w:p>
    <w:p w:rsidR="00DA0843" w:rsidRPr="001631A9" w:rsidRDefault="00DA0843" w:rsidP="008D4B5F">
      <w:pPr>
        <w:spacing w:beforeLines="50"/>
        <w:rPr>
          <w:rFonts w:ascii="Arial" w:eastAsia="楷体_GB2312" w:hAnsi="Arial" w:cs="Times New Roman"/>
          <w:b/>
          <w:bCs/>
        </w:rPr>
      </w:pPr>
      <w:r w:rsidRPr="001631A9">
        <w:rPr>
          <w:rFonts w:ascii="Arial" w:eastAsia="楷体_GB2312" w:hAnsi="Arial" w:cs="Arial"/>
          <w:b/>
          <w:bCs/>
        </w:rPr>
        <w:t>EC=0.207</w:t>
      </w:r>
      <w:r w:rsidRPr="001631A9">
        <w:rPr>
          <w:rFonts w:ascii="Arial" w:eastAsia="楷体_GB2312" w:hAnsi="Arial" w:cs="楷体_GB2312" w:hint="eastAsia"/>
          <w:b/>
          <w:bCs/>
        </w:rPr>
        <w:t>·</w:t>
      </w:r>
      <w:r w:rsidRPr="001631A9">
        <w:rPr>
          <w:rFonts w:ascii="Arial" w:eastAsia="楷体_GB2312" w:hAnsi="Arial" w:cs="Arial"/>
          <w:b/>
          <w:bCs/>
        </w:rPr>
        <w:t>INP+0.081</w:t>
      </w:r>
      <w:r w:rsidRPr="001631A9">
        <w:rPr>
          <w:rFonts w:ascii="Arial" w:eastAsia="楷体_GB2312" w:hAnsi="Arial" w:cs="楷体_GB2312" w:hint="eastAsia"/>
          <w:b/>
          <w:bCs/>
        </w:rPr>
        <w:t>·</w:t>
      </w:r>
      <w:r w:rsidRPr="001631A9">
        <w:rPr>
          <w:rFonts w:ascii="Arial" w:eastAsia="楷体_GB2312" w:hAnsi="Arial" w:cs="Arial"/>
          <w:b/>
          <w:bCs/>
        </w:rPr>
        <w:t>GDP+0.046</w:t>
      </w:r>
      <w:r w:rsidRPr="001631A9">
        <w:rPr>
          <w:rFonts w:ascii="Arial" w:eastAsia="楷体_GB2312" w:hAnsi="Arial" w:cs="楷体_GB2312" w:hint="eastAsia"/>
          <w:b/>
          <w:bCs/>
        </w:rPr>
        <w:t>·</w:t>
      </w:r>
      <w:r w:rsidRPr="001631A9">
        <w:rPr>
          <w:rFonts w:ascii="Arial" w:eastAsia="楷体_GB2312" w:hAnsi="Arial" w:cs="Arial"/>
          <w:b/>
          <w:bCs/>
        </w:rPr>
        <w:t>IRNP</w:t>
      </w:r>
      <w:r w:rsidRPr="001631A9">
        <w:rPr>
          <w:rFonts w:ascii="Arial" w:eastAsia="楷体_GB2312" w:hAnsi="Arial" w:cs="楷体_GB2312" w:hint="eastAsia"/>
          <w:b/>
          <w:bCs/>
        </w:rPr>
        <w:t>（</w:t>
      </w:r>
      <w:r w:rsidRPr="001631A9">
        <w:rPr>
          <w:rFonts w:ascii="Arial" w:eastAsia="楷体_GB2312" w:hAnsi="Arial" w:cs="Arial"/>
          <w:b/>
          <w:bCs/>
        </w:rPr>
        <w:t>-2</w:t>
      </w:r>
      <w:r w:rsidRPr="001631A9">
        <w:rPr>
          <w:rFonts w:ascii="Arial" w:eastAsia="楷体_GB2312" w:hAnsi="Arial" w:cs="楷体_GB2312" w:hint="eastAsia"/>
          <w:b/>
          <w:bCs/>
        </w:rPr>
        <w:t>）</w:t>
      </w:r>
      <w:r w:rsidRPr="001631A9">
        <w:rPr>
          <w:rFonts w:ascii="Arial" w:eastAsia="楷体_GB2312" w:hAnsi="Arial" w:cs="Arial"/>
          <w:b/>
          <w:bCs/>
        </w:rPr>
        <w:t>+0.036</w:t>
      </w:r>
      <w:r w:rsidRPr="001631A9">
        <w:rPr>
          <w:rFonts w:ascii="Arial" w:eastAsia="楷体_GB2312" w:hAnsi="Arial" w:cs="楷体_GB2312" w:hint="eastAsia"/>
          <w:b/>
          <w:bCs/>
        </w:rPr>
        <w:t>·</w:t>
      </w:r>
      <w:r w:rsidRPr="001631A9">
        <w:rPr>
          <w:rFonts w:ascii="Arial" w:eastAsia="楷体_GB2312" w:hAnsi="Arial" w:cs="Arial"/>
          <w:b/>
          <w:bCs/>
        </w:rPr>
        <w:t>BR</w:t>
      </w:r>
      <w:r w:rsidRPr="001631A9">
        <w:rPr>
          <w:rFonts w:ascii="Arial" w:eastAsia="楷体_GB2312" w:hAnsi="Arial" w:cs="楷体_GB2312" w:hint="eastAsia"/>
          <w:b/>
          <w:bCs/>
        </w:rPr>
        <w:t>（</w:t>
      </w:r>
      <w:r w:rsidRPr="001631A9">
        <w:rPr>
          <w:rFonts w:ascii="Arial" w:eastAsia="楷体_GB2312" w:hAnsi="Arial" w:cs="Arial"/>
          <w:b/>
          <w:bCs/>
        </w:rPr>
        <w:t>-2</w:t>
      </w:r>
      <w:r w:rsidRPr="001631A9">
        <w:rPr>
          <w:rFonts w:ascii="Arial" w:eastAsia="楷体_GB2312" w:hAnsi="Arial" w:cs="楷体_GB2312" w:hint="eastAsia"/>
          <w:b/>
          <w:bCs/>
        </w:rPr>
        <w:t>）</w:t>
      </w:r>
      <w:r w:rsidRPr="001631A9">
        <w:rPr>
          <w:rFonts w:ascii="Arial" w:eastAsia="楷体_GB2312" w:hAnsi="Arial" w:cs="Arial"/>
          <w:b/>
          <w:bCs/>
        </w:rPr>
        <w:t>+0.0003</w:t>
      </w:r>
      <w:r w:rsidRPr="001631A9">
        <w:rPr>
          <w:rFonts w:ascii="Arial" w:eastAsia="楷体_GB2312" w:hAnsi="Arial" w:cs="楷体_GB2312" w:hint="eastAsia"/>
          <w:b/>
          <w:bCs/>
        </w:rPr>
        <w:t>·</w:t>
      </w:r>
      <w:r w:rsidRPr="001631A9">
        <w:rPr>
          <w:rFonts w:ascii="Arial" w:eastAsia="楷体_GB2312" w:hAnsi="Arial" w:cs="Arial"/>
          <w:b/>
          <w:bCs/>
        </w:rPr>
        <w:t>NP</w:t>
      </w:r>
      <w:r w:rsidRPr="001631A9">
        <w:rPr>
          <w:rFonts w:ascii="Arial" w:eastAsia="楷体_GB2312" w:hAnsi="Arial" w:cs="楷体_GB2312" w:hint="eastAsia"/>
          <w:b/>
          <w:bCs/>
        </w:rPr>
        <w:t>（</w:t>
      </w:r>
      <w:r w:rsidRPr="001631A9">
        <w:rPr>
          <w:rFonts w:ascii="Arial" w:eastAsia="楷体_GB2312" w:hAnsi="Arial" w:cs="Arial"/>
          <w:b/>
          <w:bCs/>
        </w:rPr>
        <w:t>-2</w:t>
      </w:r>
      <w:r w:rsidRPr="001631A9">
        <w:rPr>
          <w:rFonts w:ascii="Arial" w:eastAsia="楷体_GB2312" w:hAnsi="Arial" w:cs="楷体_GB2312" w:hint="eastAsia"/>
          <w:b/>
          <w:bCs/>
        </w:rPr>
        <w:t>）</w:t>
      </w:r>
    </w:p>
    <w:p w:rsidR="00DA0843" w:rsidRPr="008A665E" w:rsidRDefault="00DA0843" w:rsidP="00370B4F">
      <w:pPr>
        <w:spacing w:beforeLines="50"/>
        <w:ind w:firstLineChars="200" w:firstLine="31680"/>
        <w:rPr>
          <w:rFonts w:ascii="Arial" w:eastAsia="楷体_GB2312" w:hAnsi="Arial" w:cs="Times New Roman"/>
        </w:rPr>
      </w:pPr>
      <w:r w:rsidRPr="008A665E">
        <w:rPr>
          <w:rFonts w:ascii="Arial" w:eastAsia="楷体_GB2312" w:hAnsi="Arial" w:cs="楷体_GB2312" w:hint="eastAsia"/>
        </w:rPr>
        <w:t>其中，</w:t>
      </w:r>
      <w:r w:rsidRPr="008A665E">
        <w:rPr>
          <w:rFonts w:ascii="Arial" w:eastAsia="楷体_GB2312" w:hAnsi="Arial" w:cs="Arial"/>
        </w:rPr>
        <w:t>EC</w:t>
      </w:r>
      <w:r w:rsidRPr="008A665E">
        <w:rPr>
          <w:rFonts w:ascii="Arial" w:eastAsia="楷体_GB2312" w:hAnsi="Arial" w:cs="楷体_GB2312" w:hint="eastAsia"/>
        </w:rPr>
        <w:t>为即期的上市公司高管薪酬水平；</w:t>
      </w:r>
      <w:r w:rsidRPr="008A665E">
        <w:rPr>
          <w:rFonts w:ascii="Arial" w:eastAsia="楷体_GB2312" w:hAnsi="Arial" w:cs="Arial"/>
        </w:rPr>
        <w:t>INP</w:t>
      </w:r>
      <w:r w:rsidRPr="008A665E">
        <w:rPr>
          <w:rFonts w:ascii="Arial" w:eastAsia="楷体_GB2312" w:hAnsi="Arial" w:cs="楷体_GB2312" w:hint="eastAsia"/>
        </w:rPr>
        <w:t>是即期的行业净利润；</w:t>
      </w:r>
      <w:r w:rsidRPr="008A665E">
        <w:rPr>
          <w:rFonts w:ascii="Arial" w:eastAsia="楷体_GB2312" w:hAnsi="Arial" w:cs="Arial"/>
        </w:rPr>
        <w:t>GDP</w:t>
      </w:r>
      <w:r w:rsidRPr="008A665E">
        <w:rPr>
          <w:rFonts w:ascii="Arial" w:eastAsia="楷体_GB2312" w:hAnsi="Arial" w:cs="楷体_GB2312" w:hint="eastAsia"/>
        </w:rPr>
        <w:t>是即期的地区人均</w:t>
      </w:r>
      <w:r w:rsidRPr="008A665E">
        <w:rPr>
          <w:rFonts w:ascii="Arial" w:eastAsia="楷体_GB2312" w:hAnsi="Arial" w:cs="Arial"/>
        </w:rPr>
        <w:t>GDP</w:t>
      </w:r>
      <w:r w:rsidRPr="008A665E">
        <w:rPr>
          <w:rFonts w:ascii="Arial" w:eastAsia="楷体_GB2312" w:hAnsi="Arial" w:cs="楷体_GB2312" w:hint="eastAsia"/>
        </w:rPr>
        <w:t>；</w:t>
      </w:r>
      <w:r w:rsidRPr="008A665E">
        <w:rPr>
          <w:rFonts w:ascii="Arial" w:eastAsia="楷体_GB2312" w:hAnsi="Arial" w:cs="Arial"/>
        </w:rPr>
        <w:t>IRNP</w:t>
      </w:r>
      <w:r w:rsidRPr="008A665E">
        <w:rPr>
          <w:rFonts w:ascii="Arial" w:eastAsia="楷体_GB2312" w:hAnsi="Arial" w:cs="楷体_GB2312" w:hint="eastAsia"/>
        </w:rPr>
        <w:t>（</w:t>
      </w:r>
      <w:r w:rsidRPr="008A665E">
        <w:rPr>
          <w:rFonts w:ascii="Arial" w:eastAsia="楷体_GB2312" w:hAnsi="Arial" w:cs="Arial"/>
        </w:rPr>
        <w:t>-2</w:t>
      </w:r>
      <w:r w:rsidRPr="008A665E">
        <w:rPr>
          <w:rFonts w:ascii="Arial" w:eastAsia="楷体_GB2312" w:hAnsi="Arial" w:cs="楷体_GB2312" w:hint="eastAsia"/>
        </w:rPr>
        <w:t>）为滞后两期的公司净利润增长率；</w:t>
      </w:r>
      <w:r w:rsidRPr="008A665E">
        <w:rPr>
          <w:rFonts w:ascii="Arial" w:eastAsia="楷体_GB2312" w:hAnsi="Arial" w:cs="Arial"/>
        </w:rPr>
        <w:t>BR</w:t>
      </w:r>
      <w:r w:rsidRPr="008A665E">
        <w:rPr>
          <w:rFonts w:ascii="Arial" w:eastAsia="楷体_GB2312" w:hAnsi="Arial" w:cs="楷体_GB2312" w:hint="eastAsia"/>
        </w:rPr>
        <w:t>（</w:t>
      </w:r>
      <w:r w:rsidRPr="008A665E">
        <w:rPr>
          <w:rFonts w:ascii="Arial" w:eastAsia="楷体_GB2312" w:hAnsi="Arial" w:cs="Arial"/>
        </w:rPr>
        <w:t>-2</w:t>
      </w:r>
      <w:r w:rsidRPr="008A665E">
        <w:rPr>
          <w:rFonts w:ascii="Arial" w:eastAsia="楷体_GB2312" w:hAnsi="Arial" w:cs="楷体_GB2312" w:hint="eastAsia"/>
        </w:rPr>
        <w:t>）为滞后两期的公司营业收入；</w:t>
      </w:r>
      <w:r w:rsidRPr="008A665E">
        <w:rPr>
          <w:rFonts w:ascii="Arial" w:eastAsia="楷体_GB2312" w:hAnsi="Arial" w:cs="Arial"/>
        </w:rPr>
        <w:t>NP</w:t>
      </w:r>
      <w:r w:rsidRPr="008A665E">
        <w:rPr>
          <w:rFonts w:ascii="Arial" w:eastAsia="楷体_GB2312" w:hAnsi="Arial" w:cs="楷体_GB2312" w:hint="eastAsia"/>
        </w:rPr>
        <w:t>（</w:t>
      </w:r>
      <w:r w:rsidRPr="008A665E">
        <w:rPr>
          <w:rFonts w:ascii="Arial" w:eastAsia="楷体_GB2312" w:hAnsi="Arial" w:cs="Arial"/>
        </w:rPr>
        <w:t>-2</w:t>
      </w:r>
      <w:r w:rsidRPr="008A665E">
        <w:rPr>
          <w:rFonts w:ascii="Arial" w:eastAsia="楷体_GB2312" w:hAnsi="Arial" w:cs="楷体_GB2312" w:hint="eastAsia"/>
        </w:rPr>
        <w:t>）为滞后两期的公司净利润。</w:t>
      </w:r>
    </w:p>
    <w:p w:rsidR="00DA0843" w:rsidRDefault="00DA0843" w:rsidP="00370B4F">
      <w:pPr>
        <w:spacing w:beforeLines="50"/>
        <w:ind w:firstLineChars="200" w:firstLine="31680"/>
        <w:rPr>
          <w:rFonts w:ascii="Arial" w:eastAsia="楷体_GB2312" w:hAnsi="Arial" w:cs="Times New Roman"/>
        </w:rPr>
      </w:pPr>
      <w:r>
        <w:rPr>
          <w:rFonts w:ascii="Arial" w:eastAsia="楷体_GB2312" w:hAnsi="Arial" w:cs="楷体_GB2312" w:hint="eastAsia"/>
        </w:rPr>
        <w:t>联合咨询中心</w:t>
      </w:r>
      <w:r w:rsidRPr="008A665E">
        <w:rPr>
          <w:rFonts w:ascii="Arial" w:eastAsia="楷体_GB2312" w:hAnsi="Arial" w:cs="楷体_GB2312" w:hint="eastAsia"/>
        </w:rPr>
        <w:t>中国上市公司高管薪酬水平市场标杆模型准确的反映了当前高管薪酬的定价机制，应用市场标杆模型</w:t>
      </w:r>
      <w:r>
        <w:rPr>
          <w:rFonts w:ascii="Arial" w:eastAsia="楷体_GB2312" w:hAnsi="Arial" w:cs="楷体_GB2312" w:hint="eastAsia"/>
        </w:rPr>
        <w:t>一方面能</w:t>
      </w:r>
      <w:r w:rsidRPr="008A665E">
        <w:rPr>
          <w:rFonts w:ascii="Arial" w:eastAsia="楷体_GB2312" w:hAnsi="Arial" w:cs="楷体_GB2312" w:hint="eastAsia"/>
        </w:rPr>
        <w:t>帮助企业衡量高管薪酬水平与市场的差异，明了高管薪酬水平如何来确定。</w:t>
      </w:r>
      <w:r>
        <w:rPr>
          <w:rFonts w:ascii="Arial" w:eastAsia="楷体_GB2312" w:hAnsi="Arial" w:cs="楷体_GB2312" w:hint="eastAsia"/>
        </w:rPr>
        <w:t>另一方面，又能</w:t>
      </w:r>
      <w:r w:rsidRPr="008A665E">
        <w:rPr>
          <w:rFonts w:ascii="Arial" w:eastAsia="楷体_GB2312" w:hAnsi="Arial" w:cs="楷体_GB2312" w:hint="eastAsia"/>
        </w:rPr>
        <w:t>帮助企业预测未来薪酬水平，为上市公司制定薪酬策略提供参考。</w:t>
      </w:r>
    </w:p>
    <w:p w:rsidR="00DA0843" w:rsidRPr="002D0A8F" w:rsidRDefault="00DA0843" w:rsidP="00CD4E43">
      <w:pPr>
        <w:spacing w:beforeLines="50"/>
        <w:ind w:firstLineChars="200" w:firstLine="31680"/>
        <w:rPr>
          <w:rFonts w:ascii="Arial" w:eastAsia="楷体_GB2312" w:hAnsi="Arial" w:cs="Times New Roman"/>
        </w:rPr>
      </w:pPr>
      <w:r w:rsidRPr="002D0A8F">
        <w:rPr>
          <w:rFonts w:ascii="Arial" w:eastAsia="楷体_GB2312" w:hAnsi="Arial" w:cs="楷体_GB2312" w:hint="eastAsia"/>
        </w:rPr>
        <w:t>为了衡量中国上市公司高管薪酬激励程度，比较各上市公司高管薪酬与市场水平之间的关系，</w:t>
      </w:r>
      <w:r>
        <w:rPr>
          <w:rFonts w:ascii="Arial" w:eastAsia="楷体_GB2312" w:hAnsi="Arial" w:cs="楷体_GB2312" w:hint="eastAsia"/>
        </w:rPr>
        <w:t>联合咨询中心</w:t>
      </w:r>
      <w:r w:rsidRPr="002D0A8F">
        <w:rPr>
          <w:rFonts w:ascii="Arial" w:eastAsia="楷体_GB2312" w:hAnsi="Arial" w:cs="楷体_GB2312" w:hint="eastAsia"/>
        </w:rPr>
        <w:t>采用高管薪酬激励程度值（</w:t>
      </w:r>
      <w:r w:rsidRPr="002D0A8F">
        <w:rPr>
          <w:rFonts w:ascii="Arial" w:eastAsia="楷体_GB2312" w:hAnsi="Arial" w:cs="Arial"/>
        </w:rPr>
        <w:t>ζ</w:t>
      </w:r>
      <w:r w:rsidRPr="002D0A8F">
        <w:rPr>
          <w:rFonts w:ascii="Arial" w:eastAsia="楷体_GB2312" w:hAnsi="Arial" w:cs="楷体_GB2312" w:hint="eastAsia"/>
        </w:rPr>
        <w:t>）作为评价依据。</w:t>
      </w:r>
    </w:p>
    <w:p w:rsidR="00DA0843" w:rsidRPr="00844342" w:rsidRDefault="00DA0843" w:rsidP="00370B4F">
      <w:pPr>
        <w:spacing w:beforeLines="50" w:line="300" w:lineRule="auto"/>
        <w:ind w:firstLineChars="200" w:firstLine="31680"/>
        <w:rPr>
          <w:rFonts w:ascii="Arial" w:eastAsia="楷体_GB2312" w:hAnsi="Arial" w:cs="Times New Roman"/>
          <w:color w:val="FF0000"/>
          <w:sz w:val="24"/>
          <w:szCs w:val="24"/>
        </w:rPr>
      </w:pPr>
      <w:r>
        <w:rPr>
          <w:noProof/>
        </w:rPr>
        <w:pict>
          <v:shapetype id="_x0000_t202" coordsize="21600,21600" o:spt="202" path="m,l,21600r21600,l21600,xe">
            <v:stroke joinstyle="miter"/>
            <v:path gradientshapeok="t" o:connecttype="rect"/>
          </v:shapetype>
          <v:shape id="Text Box 14" o:spid="_x0000_s1026" type="#_x0000_t202" style="position:absolute;left:0;text-align:left;margin-left:198pt;margin-top:42.4pt;width:99pt;height:23.4pt;z-index:251657728;visibility:visible" stroked="f">
            <v:textbox>
              <w:txbxContent>
                <w:p w:rsidR="00DA0843" w:rsidRPr="004D717C" w:rsidRDefault="00DA0843" w:rsidP="006C1299">
                  <w:pPr>
                    <w:rPr>
                      <w:rFonts w:ascii="楷体_GB2312" w:eastAsia="楷体_GB2312" w:cs="Times New Roman"/>
                    </w:rPr>
                  </w:pPr>
                  <w:r w:rsidRPr="004D717C">
                    <w:rPr>
                      <w:rFonts w:ascii="楷体_GB2312" w:eastAsia="楷体_GB2312" w:cs="楷体_GB2312" w:hint="eastAsia"/>
                    </w:rPr>
                    <w:t>激励</w:t>
                  </w:r>
                  <w:r>
                    <w:rPr>
                      <w:rFonts w:ascii="楷体_GB2312" w:eastAsia="楷体_GB2312" w:cs="楷体_GB2312" w:hint="eastAsia"/>
                    </w:rPr>
                    <w:t>适中</w:t>
                  </w:r>
                </w:p>
              </w:txbxContent>
            </v:textbox>
          </v:shape>
        </w:pict>
      </w:r>
      <w:r>
        <w:rPr>
          <w:noProof/>
        </w:rPr>
        <w:pict>
          <v:shape id="Text Box 15" o:spid="_x0000_s1027" type="#_x0000_t202" style="position:absolute;left:0;text-align:left;margin-left:198pt;margin-top:78pt;width:99pt;height:23.4pt;z-index:251658752;visibility:visible" stroked="f">
            <v:textbox>
              <w:txbxContent>
                <w:p w:rsidR="00DA0843" w:rsidRPr="004D717C" w:rsidRDefault="00DA0843" w:rsidP="006C1299">
                  <w:pPr>
                    <w:rPr>
                      <w:rFonts w:ascii="楷体_GB2312" w:eastAsia="楷体_GB2312" w:cs="Times New Roman"/>
                    </w:rPr>
                  </w:pPr>
                  <w:r w:rsidRPr="004D717C">
                    <w:rPr>
                      <w:rFonts w:ascii="楷体_GB2312" w:eastAsia="楷体_GB2312" w:cs="楷体_GB2312" w:hint="eastAsia"/>
                    </w:rPr>
                    <w:t>激励</w:t>
                  </w:r>
                  <w:r>
                    <w:rPr>
                      <w:rFonts w:ascii="楷体_GB2312" w:eastAsia="楷体_GB2312" w:cs="楷体_GB2312" w:hint="eastAsia"/>
                    </w:rPr>
                    <w:t>较强</w:t>
                  </w:r>
                </w:p>
              </w:txbxContent>
            </v:textbox>
          </v:shape>
        </w:pict>
      </w:r>
      <w:r>
        <w:rPr>
          <w:noProof/>
        </w:rPr>
        <w:pict>
          <v:shape id="Text Box 13" o:spid="_x0000_s1028" type="#_x0000_t202" style="position:absolute;left:0;text-align:left;margin-left:198pt;margin-top:6.8pt;width:99pt;height:23.4pt;z-index:251656704;visibility:visible" stroked="f">
            <v:textbox>
              <w:txbxContent>
                <w:p w:rsidR="00DA0843" w:rsidRPr="004D717C" w:rsidRDefault="00DA0843" w:rsidP="006C1299">
                  <w:pPr>
                    <w:rPr>
                      <w:rFonts w:ascii="楷体_GB2312" w:eastAsia="楷体_GB2312" w:cs="Times New Roman"/>
                    </w:rPr>
                  </w:pPr>
                  <w:r>
                    <w:rPr>
                      <w:rFonts w:ascii="楷体_GB2312" w:eastAsia="楷体_GB2312" w:cs="楷体_GB2312" w:hint="eastAsia"/>
                    </w:rPr>
                    <w:t>激励不足</w:t>
                  </w:r>
                </w:p>
              </w:txbxContent>
            </v:textbox>
          </v:shape>
        </w:pict>
      </w:r>
      <w:r w:rsidRPr="00844342">
        <w:rPr>
          <w:rFonts w:ascii="Arial" w:eastAsia="楷体_GB2312" w:hAnsi="Arial" w:cs="Times New Roman"/>
          <w:color w:val="FF0000"/>
          <w:position w:val="-86"/>
          <w:sz w:val="24"/>
          <w:szCs w:val="24"/>
        </w:rPr>
        <w:object w:dxaOrig="3060" w:dyaOrig="1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pt;height:92.25pt" o:ole="">
            <v:imagedata r:id="rId7" o:title=""/>
          </v:shape>
          <o:OLEObject Type="Embed" ProgID="Msxml2.SAXXMLReader.5.0" ShapeID="_x0000_i1025" DrawAspect="Content" ObjectID="_1458993351" r:id="rId8"/>
        </w:object>
      </w:r>
    </w:p>
    <w:p w:rsidR="00DA0843" w:rsidRPr="00E75954" w:rsidRDefault="00DA0843" w:rsidP="008D4B5F">
      <w:pPr>
        <w:spacing w:beforeLines="50"/>
        <w:outlineLvl w:val="1"/>
        <w:rPr>
          <w:rFonts w:ascii="Arial" w:eastAsia="楷体_GB2312" w:hAnsi="Arial" w:cs="Times New Roman"/>
          <w:b/>
          <w:bCs/>
          <w:sz w:val="22"/>
          <w:szCs w:val="22"/>
        </w:rPr>
      </w:pPr>
      <w:r>
        <w:rPr>
          <w:rFonts w:ascii="Arial" w:eastAsia="楷体_GB2312" w:hAnsi="Arial" w:cs="楷体_GB2312" w:hint="eastAsia"/>
          <w:b/>
          <w:bCs/>
          <w:sz w:val="22"/>
          <w:szCs w:val="22"/>
        </w:rPr>
        <w:t>整体激励程度：与全国水平相比，江苏</w:t>
      </w:r>
      <w:r w:rsidRPr="00E75954">
        <w:rPr>
          <w:rFonts w:ascii="Arial" w:eastAsia="楷体_GB2312" w:hAnsi="Arial" w:cs="楷体_GB2312" w:hint="eastAsia"/>
          <w:b/>
          <w:bCs/>
          <w:sz w:val="22"/>
          <w:szCs w:val="22"/>
        </w:rPr>
        <w:t>上市公司高管薪酬激励程度整体较低</w:t>
      </w:r>
    </w:p>
    <w:p w:rsidR="00DA0843" w:rsidRPr="0092112E" w:rsidRDefault="00DA0843" w:rsidP="00370B4F">
      <w:pPr>
        <w:spacing w:beforeLines="50"/>
        <w:ind w:firstLineChars="200" w:firstLine="31680"/>
        <w:rPr>
          <w:rFonts w:ascii="Arial" w:eastAsia="楷体_GB2312" w:hAnsi="Arial" w:cs="Times New Roman"/>
        </w:rPr>
      </w:pPr>
      <w:r w:rsidRPr="00F2016E">
        <w:rPr>
          <w:rFonts w:ascii="Arial" w:eastAsia="楷体_GB2312" w:hAnsi="Arial" w:cs="楷体_GB2312" w:hint="eastAsia"/>
        </w:rPr>
        <w:t>根据</w:t>
      </w:r>
      <w:r>
        <w:rPr>
          <w:rFonts w:ascii="Arial" w:eastAsia="楷体_GB2312" w:hAnsi="Arial" w:cs="楷体_GB2312" w:hint="eastAsia"/>
        </w:rPr>
        <w:t>联合咨询中心</w:t>
      </w:r>
      <w:r w:rsidRPr="00F2016E">
        <w:rPr>
          <w:rFonts w:ascii="Arial" w:eastAsia="楷体_GB2312" w:hAnsi="Arial" w:cs="楷体_GB2312" w:hint="eastAsia"/>
        </w:rPr>
        <w:t>中国上市公司高管薪酬市场标杆模型和激励程度评价标准，</w:t>
      </w:r>
      <w:r w:rsidRPr="00F2016E">
        <w:rPr>
          <w:rFonts w:ascii="Arial" w:eastAsia="楷体_GB2312" w:hAnsi="Arial" w:cs="Arial"/>
        </w:rPr>
        <w:t>201</w:t>
      </w:r>
      <w:r>
        <w:rPr>
          <w:rFonts w:ascii="Arial" w:eastAsia="楷体_GB2312" w:hAnsi="Arial" w:cs="Arial"/>
        </w:rPr>
        <w:t>2</w:t>
      </w:r>
      <w:r w:rsidRPr="00F2016E">
        <w:rPr>
          <w:rFonts w:ascii="Arial" w:eastAsia="楷体_GB2312" w:hAnsi="Arial" w:cs="楷体_GB2312" w:hint="eastAsia"/>
        </w:rPr>
        <w:t>年</w:t>
      </w:r>
      <w:r>
        <w:rPr>
          <w:rFonts w:ascii="Arial" w:eastAsia="楷体_GB2312" w:hAnsi="Arial" w:cs="楷体_GB2312" w:hint="eastAsia"/>
        </w:rPr>
        <w:t>沪深两市上市公司</w:t>
      </w:r>
      <w:r w:rsidRPr="00F2016E">
        <w:rPr>
          <w:rFonts w:ascii="Arial" w:eastAsia="楷体_GB2312" w:hAnsi="Arial" w:cs="楷体_GB2312" w:hint="eastAsia"/>
        </w:rPr>
        <w:t>高管薪酬激励程度全国均值为</w:t>
      </w:r>
      <w:r>
        <w:rPr>
          <w:rFonts w:ascii="Arial" w:eastAsia="楷体_GB2312" w:hAnsi="Arial" w:cs="Arial"/>
        </w:rPr>
        <w:t>1.00</w:t>
      </w:r>
      <w:r w:rsidRPr="00F2016E">
        <w:rPr>
          <w:rFonts w:ascii="Arial" w:eastAsia="楷体_GB2312" w:hAnsi="Arial" w:cs="楷体_GB2312" w:hint="eastAsia"/>
        </w:rPr>
        <w:t>，</w:t>
      </w:r>
      <w:r w:rsidRPr="0092112E">
        <w:rPr>
          <w:rFonts w:ascii="Arial" w:eastAsia="楷体_GB2312" w:hAnsi="Arial" w:cs="楷体_GB2312" w:hint="eastAsia"/>
        </w:rPr>
        <w:t>江苏省均值仅为</w:t>
      </w:r>
      <w:r>
        <w:rPr>
          <w:rFonts w:ascii="Arial" w:eastAsia="楷体_GB2312" w:hAnsi="Arial" w:cs="Arial"/>
        </w:rPr>
        <w:t>0.80</w:t>
      </w:r>
      <w:r w:rsidRPr="0092112E">
        <w:rPr>
          <w:rFonts w:ascii="Arial" w:eastAsia="楷体_GB2312" w:hAnsi="Arial" w:cs="楷体_GB2312" w:hint="eastAsia"/>
        </w:rPr>
        <w:t>，</w:t>
      </w:r>
      <w:r>
        <w:rPr>
          <w:rFonts w:ascii="Arial" w:eastAsia="楷体_GB2312" w:hAnsi="Arial" w:cs="楷体_GB2312" w:hint="eastAsia"/>
        </w:rPr>
        <w:t>较</w:t>
      </w:r>
      <w:r>
        <w:rPr>
          <w:rFonts w:ascii="Arial" w:eastAsia="楷体_GB2312" w:hAnsi="Arial" w:cs="Arial"/>
        </w:rPr>
        <w:t>2011</w:t>
      </w:r>
      <w:r>
        <w:rPr>
          <w:rFonts w:ascii="Arial" w:eastAsia="楷体_GB2312" w:hAnsi="Arial" w:cs="楷体_GB2312" w:hint="eastAsia"/>
        </w:rPr>
        <w:t>年的</w:t>
      </w:r>
      <w:r>
        <w:rPr>
          <w:rFonts w:ascii="Arial" w:eastAsia="楷体_GB2312" w:hAnsi="Arial" w:cs="Arial"/>
        </w:rPr>
        <w:t>0.82</w:t>
      </w:r>
      <w:r>
        <w:rPr>
          <w:rFonts w:ascii="Arial" w:eastAsia="楷体_GB2312" w:hAnsi="Arial" w:cs="楷体_GB2312" w:hint="eastAsia"/>
        </w:rPr>
        <w:t>有所下降，与</w:t>
      </w:r>
      <w:r w:rsidRPr="0092112E">
        <w:rPr>
          <w:rFonts w:ascii="Arial" w:eastAsia="楷体_GB2312" w:hAnsi="Arial" w:cs="楷体_GB2312" w:hint="eastAsia"/>
        </w:rPr>
        <w:t>全国高管激励程度均值</w:t>
      </w:r>
      <w:r>
        <w:rPr>
          <w:rFonts w:ascii="Arial" w:eastAsia="楷体_GB2312" w:hAnsi="Arial" w:cs="楷体_GB2312" w:hint="eastAsia"/>
        </w:rPr>
        <w:t>相比</w:t>
      </w:r>
      <w:r w:rsidRPr="0092112E">
        <w:rPr>
          <w:rFonts w:ascii="Arial" w:eastAsia="楷体_GB2312" w:hAnsi="Arial" w:cs="楷体_GB2312" w:hint="eastAsia"/>
        </w:rPr>
        <w:t>低</w:t>
      </w:r>
      <w:r>
        <w:rPr>
          <w:rFonts w:ascii="Arial" w:eastAsia="楷体_GB2312" w:hAnsi="Arial" w:cs="楷体_GB2312" w:hint="eastAsia"/>
        </w:rPr>
        <w:t>了</w:t>
      </w:r>
      <w:r>
        <w:rPr>
          <w:rFonts w:ascii="Arial" w:eastAsia="楷体_GB2312" w:hAnsi="Arial" w:cs="Arial"/>
        </w:rPr>
        <w:t>20</w:t>
      </w:r>
      <w:r w:rsidRPr="0092112E">
        <w:rPr>
          <w:rFonts w:ascii="Arial" w:eastAsia="楷体_GB2312" w:hAnsi="Arial" w:cs="楷体_GB2312" w:hint="eastAsia"/>
        </w:rPr>
        <w:t>个百分点。</w:t>
      </w:r>
    </w:p>
    <w:p w:rsidR="00DA0843" w:rsidRDefault="00DA0843" w:rsidP="00CD4E43">
      <w:pPr>
        <w:spacing w:beforeLines="50"/>
        <w:ind w:firstLineChars="200" w:firstLine="31680"/>
        <w:rPr>
          <w:rFonts w:ascii="Arial" w:eastAsia="楷体_GB2312" w:hAnsi="Arial" w:cs="Times New Roman"/>
        </w:rPr>
      </w:pPr>
      <w:r w:rsidRPr="00807FF9">
        <w:rPr>
          <w:rFonts w:ascii="Arial" w:eastAsia="楷体_GB2312" w:hAnsi="Arial" w:cs="楷体_GB2312" w:hint="eastAsia"/>
        </w:rPr>
        <w:t>从各区间分布来看，</w:t>
      </w:r>
      <w:r w:rsidRPr="00807FF9">
        <w:rPr>
          <w:rFonts w:ascii="Arial" w:eastAsia="楷体_GB2312" w:hAnsi="Arial" w:cs="Arial"/>
        </w:rPr>
        <w:t>201</w:t>
      </w:r>
      <w:r>
        <w:rPr>
          <w:rFonts w:ascii="Arial" w:eastAsia="楷体_GB2312" w:hAnsi="Arial" w:cs="Arial"/>
        </w:rPr>
        <w:t>2</w:t>
      </w:r>
      <w:r w:rsidRPr="00807FF9">
        <w:rPr>
          <w:rFonts w:ascii="Arial" w:eastAsia="楷体_GB2312" w:hAnsi="Arial" w:cs="楷体_GB2312" w:hint="eastAsia"/>
        </w:rPr>
        <w:t>年江苏省共有</w:t>
      </w:r>
      <w:r>
        <w:rPr>
          <w:rFonts w:ascii="Arial" w:eastAsia="楷体_GB2312" w:hAnsi="Arial" w:cs="Arial"/>
        </w:rPr>
        <w:t>94</w:t>
      </w:r>
      <w:r w:rsidRPr="00807FF9">
        <w:rPr>
          <w:rFonts w:ascii="Arial" w:eastAsia="楷体_GB2312" w:hAnsi="Arial" w:cs="楷体_GB2312" w:hint="eastAsia"/>
        </w:rPr>
        <w:t>家上市公司高管薪酬激励程度值小于</w:t>
      </w:r>
      <w:r w:rsidRPr="00807FF9">
        <w:rPr>
          <w:rFonts w:ascii="Arial" w:eastAsia="楷体_GB2312" w:hAnsi="Arial" w:cs="Arial"/>
        </w:rPr>
        <w:t>1</w:t>
      </w:r>
      <w:r w:rsidRPr="00807FF9">
        <w:rPr>
          <w:rFonts w:ascii="Arial" w:eastAsia="楷体_GB2312" w:hAnsi="Arial" w:cs="楷体_GB2312" w:hint="eastAsia"/>
        </w:rPr>
        <w:t>，占</w:t>
      </w:r>
      <w:r w:rsidRPr="00807FF9">
        <w:rPr>
          <w:rFonts w:ascii="Arial" w:eastAsia="楷体_GB2312" w:hAnsi="Arial" w:cs="Arial"/>
        </w:rPr>
        <w:t>4</w:t>
      </w:r>
      <w:r>
        <w:rPr>
          <w:rFonts w:ascii="Arial" w:eastAsia="楷体_GB2312" w:hAnsi="Arial" w:cs="Arial"/>
        </w:rPr>
        <w:t>0.52</w:t>
      </w:r>
      <w:r w:rsidRPr="00807FF9">
        <w:rPr>
          <w:rFonts w:ascii="Arial" w:eastAsia="楷体_GB2312" w:hAnsi="Arial" w:cs="Arial"/>
        </w:rPr>
        <w:t>%</w:t>
      </w:r>
      <w:r w:rsidRPr="00807FF9">
        <w:rPr>
          <w:rFonts w:ascii="Arial" w:eastAsia="楷体_GB2312" w:hAnsi="Arial" w:cs="楷体_GB2312" w:hint="eastAsia"/>
        </w:rPr>
        <w:t>。其中，低于市场标杆值</w:t>
      </w:r>
      <w:r w:rsidRPr="00807FF9">
        <w:rPr>
          <w:rFonts w:ascii="Arial" w:eastAsia="楷体_GB2312" w:hAnsi="Arial" w:cs="Arial"/>
        </w:rPr>
        <w:t>1/2</w:t>
      </w:r>
      <w:r w:rsidRPr="00807FF9">
        <w:rPr>
          <w:rFonts w:ascii="Arial" w:eastAsia="楷体_GB2312" w:hAnsi="Arial" w:cs="楷体_GB2312" w:hint="eastAsia"/>
        </w:rPr>
        <w:t>的有</w:t>
      </w:r>
      <w:r w:rsidRPr="00807FF9">
        <w:rPr>
          <w:rFonts w:ascii="Arial" w:eastAsia="楷体_GB2312" w:hAnsi="Arial" w:cs="Arial"/>
        </w:rPr>
        <w:t>3</w:t>
      </w:r>
      <w:r>
        <w:rPr>
          <w:rFonts w:ascii="Arial" w:eastAsia="楷体_GB2312" w:hAnsi="Arial" w:cs="Arial"/>
        </w:rPr>
        <w:t>8</w:t>
      </w:r>
      <w:r w:rsidRPr="00807FF9">
        <w:rPr>
          <w:rFonts w:ascii="Arial" w:eastAsia="楷体_GB2312" w:hAnsi="Arial" w:cs="楷体_GB2312" w:hint="eastAsia"/>
        </w:rPr>
        <w:t>家，占</w:t>
      </w:r>
      <w:r w:rsidRPr="00807FF9">
        <w:rPr>
          <w:rFonts w:ascii="Arial" w:eastAsia="楷体_GB2312" w:hAnsi="Arial" w:cs="Arial"/>
        </w:rPr>
        <w:t>1</w:t>
      </w:r>
      <w:r>
        <w:rPr>
          <w:rFonts w:ascii="Arial" w:eastAsia="楷体_GB2312" w:hAnsi="Arial" w:cs="Arial"/>
        </w:rPr>
        <w:t>6.38</w:t>
      </w:r>
      <w:r w:rsidRPr="00807FF9">
        <w:rPr>
          <w:rFonts w:ascii="Arial" w:eastAsia="楷体_GB2312" w:hAnsi="Arial" w:cs="Arial"/>
        </w:rPr>
        <w:t>%</w:t>
      </w:r>
      <w:r w:rsidRPr="00807FF9">
        <w:rPr>
          <w:rFonts w:ascii="Arial" w:eastAsia="楷体_GB2312" w:hAnsi="Arial" w:cs="楷体_GB2312" w:hint="eastAsia"/>
        </w:rPr>
        <w:t>；低于市场标杆值</w:t>
      </w:r>
      <w:r w:rsidRPr="00807FF9">
        <w:rPr>
          <w:rFonts w:ascii="Arial" w:eastAsia="楷体_GB2312" w:hAnsi="Arial" w:cs="Arial"/>
        </w:rPr>
        <w:t>1/3</w:t>
      </w:r>
      <w:r w:rsidRPr="00807FF9">
        <w:rPr>
          <w:rFonts w:ascii="Arial" w:eastAsia="楷体_GB2312" w:hAnsi="Arial" w:cs="楷体_GB2312" w:hint="eastAsia"/>
        </w:rPr>
        <w:t>的有</w:t>
      </w:r>
      <w:r w:rsidRPr="00807FF9">
        <w:rPr>
          <w:rFonts w:ascii="Arial" w:eastAsia="楷体_GB2312" w:hAnsi="Arial" w:cs="Arial"/>
        </w:rPr>
        <w:t>1</w:t>
      </w:r>
      <w:r>
        <w:rPr>
          <w:rFonts w:ascii="Arial" w:eastAsia="楷体_GB2312" w:hAnsi="Arial" w:cs="Arial"/>
        </w:rPr>
        <w:t>5</w:t>
      </w:r>
      <w:r w:rsidRPr="00807FF9">
        <w:rPr>
          <w:rFonts w:ascii="Arial" w:eastAsia="楷体_GB2312" w:hAnsi="Arial" w:cs="楷体_GB2312" w:hint="eastAsia"/>
        </w:rPr>
        <w:t>家，占</w:t>
      </w:r>
      <w:r>
        <w:rPr>
          <w:rFonts w:ascii="Arial" w:eastAsia="楷体_GB2312" w:hAnsi="Arial" w:cs="Arial"/>
        </w:rPr>
        <w:t>6.47</w:t>
      </w:r>
      <w:r w:rsidRPr="00807FF9">
        <w:rPr>
          <w:rFonts w:ascii="Arial" w:eastAsia="楷体_GB2312" w:hAnsi="Arial" w:cs="Arial"/>
        </w:rPr>
        <w:t>%</w:t>
      </w:r>
      <w:r w:rsidRPr="00807FF9">
        <w:rPr>
          <w:rFonts w:ascii="Arial" w:eastAsia="楷体_GB2312" w:hAnsi="Arial" w:cs="楷体_GB2312" w:hint="eastAsia"/>
        </w:rPr>
        <w:t>；低于市场标杆值</w:t>
      </w:r>
      <w:r w:rsidRPr="00807FF9">
        <w:rPr>
          <w:rFonts w:ascii="Arial" w:eastAsia="楷体_GB2312" w:hAnsi="Arial" w:cs="Arial"/>
        </w:rPr>
        <w:t>1/5</w:t>
      </w:r>
      <w:r w:rsidRPr="00807FF9">
        <w:rPr>
          <w:rFonts w:ascii="Arial" w:eastAsia="楷体_GB2312" w:hAnsi="Arial" w:cs="楷体_GB2312" w:hint="eastAsia"/>
        </w:rPr>
        <w:t>的有</w:t>
      </w:r>
      <w:r w:rsidRPr="00807FF9">
        <w:rPr>
          <w:rFonts w:ascii="Arial" w:eastAsia="楷体_GB2312" w:hAnsi="Arial" w:cs="Arial"/>
        </w:rPr>
        <w:t>5</w:t>
      </w:r>
      <w:r w:rsidRPr="00807FF9">
        <w:rPr>
          <w:rFonts w:ascii="Arial" w:eastAsia="楷体_GB2312" w:hAnsi="Arial" w:cs="楷体_GB2312" w:hint="eastAsia"/>
        </w:rPr>
        <w:t>家，占</w:t>
      </w:r>
      <w:r w:rsidRPr="00807FF9">
        <w:rPr>
          <w:rFonts w:ascii="Arial" w:eastAsia="楷体_GB2312" w:hAnsi="Arial" w:cs="Arial"/>
        </w:rPr>
        <w:t>2.</w:t>
      </w:r>
      <w:r>
        <w:rPr>
          <w:rFonts w:ascii="Arial" w:eastAsia="楷体_GB2312" w:hAnsi="Arial" w:cs="Arial"/>
        </w:rPr>
        <w:t>16</w:t>
      </w:r>
      <w:r w:rsidRPr="00807FF9">
        <w:rPr>
          <w:rFonts w:ascii="Arial" w:eastAsia="楷体_GB2312" w:hAnsi="Arial" w:cs="Arial"/>
        </w:rPr>
        <w:t>%</w:t>
      </w:r>
      <w:r w:rsidRPr="00807FF9">
        <w:rPr>
          <w:rFonts w:ascii="Arial" w:eastAsia="楷体_GB2312" w:hAnsi="Arial" w:cs="楷体_GB2312" w:hint="eastAsia"/>
        </w:rPr>
        <w:t>。</w:t>
      </w:r>
    </w:p>
    <w:p w:rsidR="00DA0843" w:rsidRDefault="00DA0843" w:rsidP="00370B4F">
      <w:pPr>
        <w:spacing w:beforeLines="50"/>
        <w:ind w:firstLineChars="200" w:firstLine="31680"/>
        <w:rPr>
          <w:rFonts w:ascii="Arial" w:eastAsia="楷体_GB2312" w:hAnsi="Arial" w:cs="Times New Roman"/>
        </w:rPr>
      </w:pPr>
      <w:r w:rsidRPr="00807FF9">
        <w:rPr>
          <w:rFonts w:ascii="Arial" w:eastAsia="楷体_GB2312" w:hAnsi="Arial" w:cs="楷体_GB2312" w:hint="eastAsia"/>
        </w:rPr>
        <w:t>而激励程度值高于</w:t>
      </w:r>
      <w:r w:rsidRPr="00807FF9">
        <w:rPr>
          <w:rFonts w:ascii="Arial" w:eastAsia="楷体_GB2312" w:hAnsi="Arial" w:cs="Arial"/>
        </w:rPr>
        <w:t>1</w:t>
      </w:r>
      <w:r>
        <w:rPr>
          <w:rFonts w:ascii="Arial" w:eastAsia="楷体_GB2312" w:hAnsi="Arial" w:cs="楷体_GB2312" w:hint="eastAsia"/>
        </w:rPr>
        <w:t>的</w:t>
      </w:r>
      <w:r w:rsidRPr="00807FF9">
        <w:rPr>
          <w:rFonts w:ascii="Arial" w:eastAsia="楷体_GB2312" w:hAnsi="Arial" w:cs="楷体_GB2312" w:hint="eastAsia"/>
        </w:rPr>
        <w:t>有</w:t>
      </w:r>
      <w:r w:rsidRPr="00807FF9">
        <w:rPr>
          <w:rFonts w:ascii="Arial" w:eastAsia="楷体_GB2312" w:hAnsi="Arial" w:cs="Arial"/>
        </w:rPr>
        <w:t>2</w:t>
      </w:r>
      <w:r>
        <w:rPr>
          <w:rFonts w:ascii="Arial" w:eastAsia="楷体_GB2312" w:hAnsi="Arial" w:cs="Arial"/>
        </w:rPr>
        <w:t>8</w:t>
      </w:r>
      <w:r w:rsidRPr="00807FF9">
        <w:rPr>
          <w:rFonts w:ascii="Arial" w:eastAsia="楷体_GB2312" w:hAnsi="Arial" w:cs="楷体_GB2312" w:hint="eastAsia"/>
        </w:rPr>
        <w:t>家，占</w:t>
      </w:r>
      <w:r w:rsidRPr="00807FF9">
        <w:rPr>
          <w:rFonts w:ascii="Arial" w:eastAsia="楷体_GB2312" w:hAnsi="Arial" w:cs="Arial"/>
        </w:rPr>
        <w:t>1</w:t>
      </w:r>
      <w:r>
        <w:rPr>
          <w:rFonts w:ascii="Arial" w:eastAsia="楷体_GB2312" w:hAnsi="Arial" w:cs="Arial"/>
        </w:rPr>
        <w:t>2.07</w:t>
      </w:r>
      <w:r w:rsidRPr="00807FF9">
        <w:rPr>
          <w:rFonts w:ascii="Arial" w:eastAsia="楷体_GB2312" w:hAnsi="Arial" w:cs="Arial"/>
        </w:rPr>
        <w:t>%</w:t>
      </w:r>
      <w:r w:rsidRPr="00807FF9">
        <w:rPr>
          <w:rFonts w:ascii="Arial" w:eastAsia="楷体_GB2312" w:hAnsi="Arial" w:cs="楷体_GB2312" w:hint="eastAsia"/>
        </w:rPr>
        <w:t>。其中，高于市场标杆值</w:t>
      </w:r>
      <w:r w:rsidRPr="00807FF9">
        <w:rPr>
          <w:rFonts w:ascii="Arial" w:eastAsia="楷体_GB2312" w:hAnsi="Arial" w:cs="Arial"/>
        </w:rPr>
        <w:t>2</w:t>
      </w:r>
      <w:r w:rsidRPr="00807FF9">
        <w:rPr>
          <w:rFonts w:ascii="Arial" w:eastAsia="楷体_GB2312" w:hAnsi="Arial" w:cs="楷体_GB2312" w:hint="eastAsia"/>
        </w:rPr>
        <w:t>倍以上</w:t>
      </w:r>
      <w:r>
        <w:rPr>
          <w:rFonts w:ascii="Arial" w:eastAsia="楷体_GB2312" w:hAnsi="Arial" w:cs="楷体_GB2312" w:hint="eastAsia"/>
        </w:rPr>
        <w:t>的仅</w:t>
      </w:r>
      <w:r w:rsidRPr="00807FF9">
        <w:rPr>
          <w:rFonts w:ascii="Arial" w:eastAsia="楷体_GB2312" w:hAnsi="Arial" w:cs="楷体_GB2312" w:hint="eastAsia"/>
        </w:rPr>
        <w:t>有</w:t>
      </w:r>
      <w:r>
        <w:rPr>
          <w:rFonts w:ascii="Arial" w:eastAsia="楷体_GB2312" w:hAnsi="Arial" w:cs="Arial"/>
        </w:rPr>
        <w:t>7</w:t>
      </w:r>
      <w:r w:rsidRPr="00807FF9">
        <w:rPr>
          <w:rFonts w:ascii="Arial" w:eastAsia="楷体_GB2312" w:hAnsi="Arial" w:cs="楷体_GB2312" w:hint="eastAsia"/>
        </w:rPr>
        <w:t>家，占</w:t>
      </w:r>
      <w:r>
        <w:rPr>
          <w:rFonts w:ascii="Arial" w:eastAsia="楷体_GB2312" w:hAnsi="Arial" w:cs="Arial"/>
        </w:rPr>
        <w:t>3</w:t>
      </w:r>
      <w:r w:rsidRPr="00807FF9">
        <w:rPr>
          <w:rFonts w:ascii="Arial" w:eastAsia="楷体_GB2312" w:hAnsi="Arial" w:cs="Arial"/>
        </w:rPr>
        <w:t>.0</w:t>
      </w:r>
      <w:r>
        <w:rPr>
          <w:rFonts w:ascii="Arial" w:eastAsia="楷体_GB2312" w:hAnsi="Arial" w:cs="Arial"/>
        </w:rPr>
        <w:t>2</w:t>
      </w:r>
      <w:r w:rsidRPr="00807FF9">
        <w:rPr>
          <w:rFonts w:ascii="Arial" w:eastAsia="楷体_GB2312" w:hAnsi="Arial" w:cs="Arial"/>
        </w:rPr>
        <w:t>%</w:t>
      </w:r>
      <w:r w:rsidRPr="00807FF9">
        <w:rPr>
          <w:rFonts w:ascii="Arial" w:eastAsia="楷体_GB2312" w:hAnsi="Arial" w:cs="楷体_GB2312" w:hint="eastAsia"/>
        </w:rPr>
        <w:t>。另有</w:t>
      </w:r>
      <w:r>
        <w:rPr>
          <w:rFonts w:ascii="Arial" w:eastAsia="楷体_GB2312" w:hAnsi="Arial" w:cs="Arial"/>
        </w:rPr>
        <w:t>110</w:t>
      </w:r>
      <w:r w:rsidRPr="00807FF9">
        <w:rPr>
          <w:rFonts w:ascii="Arial" w:eastAsia="楷体_GB2312" w:hAnsi="Arial" w:cs="楷体_GB2312" w:hint="eastAsia"/>
        </w:rPr>
        <w:t>家激励程度值缺省</w:t>
      </w:r>
      <w:r w:rsidRPr="00807FF9">
        <w:rPr>
          <w:rStyle w:val="FootnoteReference"/>
          <w:rFonts w:ascii="Arial" w:eastAsia="楷体_GB2312" w:hAnsi="Arial" w:cs="Times New Roman"/>
        </w:rPr>
        <w:footnoteReference w:id="7"/>
      </w:r>
      <w:r w:rsidRPr="00807FF9">
        <w:rPr>
          <w:rFonts w:ascii="Arial" w:eastAsia="楷体_GB2312" w:hAnsi="Arial" w:cs="楷体_GB2312" w:hint="eastAsia"/>
        </w:rPr>
        <w:t>，占</w:t>
      </w:r>
      <w:r>
        <w:rPr>
          <w:rFonts w:ascii="Arial" w:eastAsia="楷体_GB2312" w:hAnsi="Arial" w:cs="Arial"/>
        </w:rPr>
        <w:t>47.41</w:t>
      </w:r>
      <w:r w:rsidRPr="00807FF9">
        <w:rPr>
          <w:rFonts w:ascii="Arial" w:eastAsia="楷体_GB2312" w:hAnsi="Arial" w:cs="Arial"/>
        </w:rPr>
        <w:t>%</w:t>
      </w:r>
      <w:r w:rsidRPr="00807FF9">
        <w:rPr>
          <w:rFonts w:ascii="Arial" w:eastAsia="楷体_GB2312" w:hAnsi="Arial" w:cs="楷体_GB2312" w:hint="eastAsia"/>
        </w:rPr>
        <w:t>。</w:t>
      </w:r>
    </w:p>
    <w:p w:rsidR="00DA0843" w:rsidRPr="00EC7B83" w:rsidRDefault="00DA0843" w:rsidP="008D4B5F">
      <w:pPr>
        <w:spacing w:beforeLines="50"/>
        <w:outlineLvl w:val="1"/>
        <w:rPr>
          <w:rFonts w:ascii="Arial" w:eastAsia="楷体_GB2312" w:hAnsi="Arial" w:cs="Times New Roman"/>
          <w:b/>
          <w:bCs/>
          <w:sz w:val="22"/>
          <w:szCs w:val="22"/>
        </w:rPr>
      </w:pPr>
      <w:bookmarkStart w:id="8" w:name="_Toc332381641"/>
      <w:r w:rsidRPr="00EC7B83">
        <w:rPr>
          <w:rFonts w:ascii="Arial" w:eastAsia="楷体_GB2312" w:hAnsi="Arial" w:cs="楷体_GB2312" w:hint="eastAsia"/>
          <w:b/>
          <w:bCs/>
          <w:sz w:val="22"/>
          <w:szCs w:val="22"/>
        </w:rPr>
        <w:t>行业</w:t>
      </w:r>
      <w:r>
        <w:rPr>
          <w:rFonts w:ascii="Arial" w:eastAsia="楷体_GB2312" w:hAnsi="Arial" w:cs="楷体_GB2312" w:hint="eastAsia"/>
          <w:b/>
          <w:bCs/>
          <w:sz w:val="22"/>
          <w:szCs w:val="22"/>
        </w:rPr>
        <w:t>间高管</w:t>
      </w:r>
      <w:r w:rsidRPr="00EC7B83">
        <w:rPr>
          <w:rFonts w:ascii="Arial" w:eastAsia="楷体_GB2312" w:hAnsi="Arial" w:cs="楷体_GB2312" w:hint="eastAsia"/>
          <w:b/>
          <w:bCs/>
          <w:sz w:val="22"/>
          <w:szCs w:val="22"/>
        </w:rPr>
        <w:t>激励程度</w:t>
      </w:r>
      <w:r>
        <w:rPr>
          <w:rFonts w:ascii="Arial" w:eastAsia="楷体_GB2312" w:hAnsi="Arial" w:cs="楷体_GB2312" w:hint="eastAsia"/>
          <w:b/>
          <w:bCs/>
          <w:sz w:val="22"/>
          <w:szCs w:val="22"/>
        </w:rPr>
        <w:t>比较</w:t>
      </w:r>
      <w:r w:rsidRPr="00EC7B83">
        <w:rPr>
          <w:rFonts w:ascii="Arial" w:eastAsia="楷体_GB2312" w:hAnsi="Arial" w:cs="楷体_GB2312" w:hint="eastAsia"/>
          <w:b/>
          <w:bCs/>
          <w:sz w:val="22"/>
          <w:szCs w:val="22"/>
        </w:rPr>
        <w:t>：</w:t>
      </w:r>
      <w:r>
        <w:rPr>
          <w:rFonts w:ascii="Arial" w:eastAsia="楷体_GB2312" w:hAnsi="Arial" w:cs="楷体_GB2312" w:hint="eastAsia"/>
          <w:b/>
          <w:bCs/>
          <w:sz w:val="22"/>
          <w:szCs w:val="22"/>
        </w:rPr>
        <w:t>江苏</w:t>
      </w:r>
      <w:r w:rsidRPr="00EC7B83">
        <w:rPr>
          <w:rFonts w:ascii="Arial" w:eastAsia="楷体_GB2312" w:hAnsi="Arial" w:cs="楷体_GB2312" w:hint="eastAsia"/>
          <w:b/>
          <w:bCs/>
          <w:sz w:val="22"/>
          <w:szCs w:val="22"/>
        </w:rPr>
        <w:t>各行业间高管薪酬激励程度</w:t>
      </w:r>
      <w:bookmarkEnd w:id="8"/>
      <w:r>
        <w:rPr>
          <w:rFonts w:ascii="Arial" w:eastAsia="楷体_GB2312" w:hAnsi="Arial" w:cs="楷体_GB2312" w:hint="eastAsia"/>
          <w:b/>
          <w:bCs/>
          <w:sz w:val="22"/>
          <w:szCs w:val="22"/>
        </w:rPr>
        <w:t>差距过</w:t>
      </w:r>
      <w:r>
        <w:rPr>
          <w:rFonts w:ascii="Arial" w:eastAsia="楷体_GB2312" w:hAnsi="Arial" w:cs="Arial"/>
          <w:b/>
          <w:bCs/>
          <w:sz w:val="22"/>
          <w:szCs w:val="22"/>
        </w:rPr>
        <w:t>2</w:t>
      </w:r>
      <w:r w:rsidRPr="00EC7B83">
        <w:rPr>
          <w:rFonts w:ascii="Arial" w:eastAsia="楷体_GB2312" w:hAnsi="Arial" w:cs="楷体_GB2312" w:hint="eastAsia"/>
          <w:b/>
          <w:bCs/>
          <w:sz w:val="22"/>
          <w:szCs w:val="22"/>
        </w:rPr>
        <w:t>倍，</w:t>
      </w:r>
      <w:r>
        <w:rPr>
          <w:rFonts w:ascii="Arial" w:eastAsia="楷体_GB2312" w:hAnsi="Arial" w:cs="楷体_GB2312" w:hint="eastAsia"/>
          <w:b/>
          <w:bCs/>
          <w:sz w:val="22"/>
          <w:szCs w:val="22"/>
        </w:rPr>
        <w:t>金融、房产等低于全国水平</w:t>
      </w:r>
    </w:p>
    <w:p w:rsidR="00DA0843" w:rsidRPr="003D0B4A" w:rsidRDefault="00DA0843" w:rsidP="00370B4F">
      <w:pPr>
        <w:spacing w:beforeLines="50"/>
        <w:ind w:firstLineChars="200" w:firstLine="31680"/>
        <w:rPr>
          <w:rFonts w:ascii="Arial" w:eastAsia="楷体_GB2312" w:hAnsi="Arial" w:cs="Times New Roman"/>
        </w:rPr>
      </w:pPr>
      <w:r w:rsidRPr="003D0B4A">
        <w:rPr>
          <w:rFonts w:ascii="Arial" w:eastAsia="楷体_GB2312" w:hAnsi="Arial" w:cs="Arial"/>
        </w:rPr>
        <w:t>201</w:t>
      </w:r>
      <w:r>
        <w:rPr>
          <w:rFonts w:ascii="Arial" w:eastAsia="楷体_GB2312" w:hAnsi="Arial" w:cs="Arial"/>
        </w:rPr>
        <w:t>2</w:t>
      </w:r>
      <w:r w:rsidRPr="003D0B4A">
        <w:rPr>
          <w:rFonts w:ascii="Arial" w:eastAsia="楷体_GB2312" w:hAnsi="Arial" w:cs="楷体_GB2312" w:hint="eastAsia"/>
        </w:rPr>
        <w:t>年江苏省不同行业的上市公司高管薪酬激励程度值差异较大。建筑业激励程度最高，激励程度值均值为</w:t>
      </w:r>
      <w:r w:rsidRPr="003D0B4A">
        <w:rPr>
          <w:rFonts w:ascii="Arial" w:eastAsia="楷体_GB2312" w:hAnsi="Arial" w:cs="Arial"/>
        </w:rPr>
        <w:t>1.</w:t>
      </w:r>
      <w:r>
        <w:rPr>
          <w:rFonts w:ascii="Arial" w:eastAsia="楷体_GB2312" w:hAnsi="Arial" w:cs="Arial"/>
        </w:rPr>
        <w:t>61</w:t>
      </w:r>
      <w:r w:rsidRPr="003D0B4A">
        <w:rPr>
          <w:rFonts w:ascii="Arial" w:eastAsia="楷体_GB2312" w:hAnsi="Arial" w:cs="楷体_GB2312" w:hint="eastAsia"/>
        </w:rPr>
        <w:t>；</w:t>
      </w:r>
      <w:r>
        <w:rPr>
          <w:rFonts w:ascii="Arial" w:eastAsia="楷体_GB2312" w:hAnsi="Arial" w:cs="楷体_GB2312" w:hint="eastAsia"/>
        </w:rPr>
        <w:t>金融、保险业</w:t>
      </w:r>
      <w:r w:rsidRPr="003D0B4A">
        <w:rPr>
          <w:rFonts w:ascii="Arial" w:eastAsia="楷体_GB2312" w:hAnsi="Arial" w:cs="楷体_GB2312" w:hint="eastAsia"/>
        </w:rPr>
        <w:t>激励程度最低，激励程度值均值为</w:t>
      </w:r>
      <w:r w:rsidRPr="003D0B4A">
        <w:rPr>
          <w:rFonts w:ascii="Arial" w:eastAsia="楷体_GB2312" w:hAnsi="Arial" w:cs="Arial"/>
        </w:rPr>
        <w:t>0.</w:t>
      </w:r>
      <w:r>
        <w:rPr>
          <w:rFonts w:ascii="Arial" w:eastAsia="楷体_GB2312" w:hAnsi="Arial" w:cs="Arial"/>
        </w:rPr>
        <w:t>6</w:t>
      </w:r>
      <w:r w:rsidRPr="003D0B4A">
        <w:rPr>
          <w:rFonts w:ascii="Arial" w:eastAsia="楷体_GB2312" w:hAnsi="Arial" w:cs="楷体_GB2312" w:hint="eastAsia"/>
        </w:rPr>
        <w:t>，两者</w:t>
      </w:r>
      <w:r>
        <w:rPr>
          <w:rFonts w:ascii="Arial" w:eastAsia="楷体_GB2312" w:hAnsi="Arial" w:cs="楷体_GB2312" w:hint="eastAsia"/>
        </w:rPr>
        <w:t>间差距超过</w:t>
      </w:r>
      <w:r>
        <w:rPr>
          <w:rFonts w:ascii="Arial" w:eastAsia="楷体_GB2312" w:hAnsi="Arial" w:cs="Arial"/>
        </w:rPr>
        <w:t>2</w:t>
      </w:r>
      <w:r w:rsidRPr="003D0B4A">
        <w:rPr>
          <w:rFonts w:ascii="Arial" w:eastAsia="楷体_GB2312" w:hAnsi="Arial" w:cs="楷体_GB2312" w:hint="eastAsia"/>
        </w:rPr>
        <w:t>倍。</w:t>
      </w:r>
    </w:p>
    <w:p w:rsidR="00DA0843" w:rsidRDefault="00DA0843" w:rsidP="00370B4F">
      <w:pPr>
        <w:spacing w:beforeLines="50"/>
        <w:ind w:firstLineChars="200" w:firstLine="31680"/>
        <w:rPr>
          <w:rFonts w:ascii="Arial" w:eastAsia="楷体_GB2312" w:hAnsi="Arial" w:cs="Times New Roman"/>
        </w:rPr>
      </w:pPr>
      <w:r w:rsidRPr="003D0B4A">
        <w:rPr>
          <w:rFonts w:ascii="Arial" w:eastAsia="楷体_GB2312" w:hAnsi="Arial" w:cs="楷体_GB2312" w:hint="eastAsia"/>
        </w:rPr>
        <w:t>与全国上市公司激励程度相比，江苏省金融保险</w:t>
      </w:r>
      <w:r>
        <w:rPr>
          <w:rFonts w:ascii="Arial" w:eastAsia="楷体_GB2312" w:hAnsi="Arial" w:cs="楷体_GB2312" w:hint="eastAsia"/>
        </w:rPr>
        <w:t>业、房地产业、交通运输仓储业、综合类等多个行业的上市公司高管薪酬激励程度值均值远低于全国激励程度值均值。</w:t>
      </w:r>
      <w:r w:rsidRPr="003D0B4A">
        <w:rPr>
          <w:rFonts w:ascii="Arial" w:eastAsia="楷体_GB2312" w:hAnsi="Arial" w:cs="楷体_GB2312" w:hint="eastAsia"/>
        </w:rPr>
        <w:t>建筑业高管薪酬全国激励程度值均值为</w:t>
      </w:r>
      <w:r>
        <w:rPr>
          <w:rFonts w:ascii="Arial" w:eastAsia="楷体_GB2312" w:hAnsi="Arial" w:cs="Arial"/>
        </w:rPr>
        <w:t>0.97</w:t>
      </w:r>
      <w:r w:rsidRPr="003D0B4A">
        <w:rPr>
          <w:rFonts w:ascii="Arial" w:eastAsia="楷体_GB2312" w:hAnsi="Arial" w:cs="楷体_GB2312" w:hint="eastAsia"/>
        </w:rPr>
        <w:t>，江苏省则高达</w:t>
      </w:r>
      <w:r>
        <w:rPr>
          <w:rFonts w:ascii="Arial" w:eastAsia="楷体_GB2312" w:hAnsi="Arial" w:cs="Arial"/>
        </w:rPr>
        <w:t>1.61</w:t>
      </w:r>
      <w:r w:rsidRPr="003D0B4A">
        <w:rPr>
          <w:rFonts w:ascii="Arial" w:eastAsia="楷体_GB2312" w:hAnsi="Arial" w:cs="楷体_GB2312" w:hint="eastAsia"/>
        </w:rPr>
        <w:t>。信息技术业</w:t>
      </w:r>
      <w:r>
        <w:rPr>
          <w:rFonts w:ascii="Arial" w:eastAsia="楷体_GB2312" w:hAnsi="Arial" w:cs="楷体_GB2312" w:hint="eastAsia"/>
        </w:rPr>
        <w:t>的</w:t>
      </w:r>
      <w:r w:rsidRPr="003D0B4A">
        <w:rPr>
          <w:rFonts w:ascii="Arial" w:eastAsia="楷体_GB2312" w:hAnsi="Arial" w:cs="楷体_GB2312" w:hint="eastAsia"/>
        </w:rPr>
        <w:t>激励程度值均值基本与全国均值持平，激励程度</w:t>
      </w:r>
      <w:r>
        <w:rPr>
          <w:rFonts w:ascii="Arial" w:eastAsia="楷体_GB2312" w:hAnsi="Arial" w:cs="楷体_GB2312" w:hint="eastAsia"/>
        </w:rPr>
        <w:t>较其他行业而言相对</w:t>
      </w:r>
      <w:r w:rsidRPr="003D0B4A">
        <w:rPr>
          <w:rFonts w:ascii="Arial" w:eastAsia="楷体_GB2312" w:hAnsi="Arial" w:cs="楷体_GB2312" w:hint="eastAsia"/>
        </w:rPr>
        <w:t>合理。</w:t>
      </w:r>
    </w:p>
    <w:p w:rsidR="00DA0843" w:rsidRPr="00257F15" w:rsidRDefault="00DA0843" w:rsidP="008D4B5F">
      <w:pPr>
        <w:spacing w:beforeLines="50"/>
        <w:outlineLvl w:val="1"/>
        <w:rPr>
          <w:rFonts w:ascii="Arial" w:eastAsia="楷体_GB2312" w:hAnsi="Arial" w:cs="Times New Roman"/>
          <w:b/>
          <w:bCs/>
          <w:sz w:val="22"/>
          <w:szCs w:val="22"/>
        </w:rPr>
      </w:pPr>
      <w:bookmarkStart w:id="9" w:name="_Toc332381642"/>
      <w:r w:rsidRPr="00257F15">
        <w:rPr>
          <w:rFonts w:ascii="Arial" w:eastAsia="楷体_GB2312" w:hAnsi="Arial" w:cs="楷体_GB2312" w:hint="eastAsia"/>
          <w:b/>
          <w:bCs/>
          <w:sz w:val="22"/>
          <w:szCs w:val="22"/>
        </w:rPr>
        <w:t>省内</w:t>
      </w:r>
      <w:r>
        <w:rPr>
          <w:rFonts w:ascii="Arial" w:eastAsia="楷体_GB2312" w:hAnsi="Arial" w:cs="楷体_GB2312" w:hint="eastAsia"/>
          <w:b/>
          <w:bCs/>
          <w:sz w:val="22"/>
          <w:szCs w:val="22"/>
        </w:rPr>
        <w:t>地区间高管</w:t>
      </w:r>
      <w:r w:rsidRPr="00257F15">
        <w:rPr>
          <w:rFonts w:ascii="Arial" w:eastAsia="楷体_GB2312" w:hAnsi="Arial" w:cs="楷体_GB2312" w:hint="eastAsia"/>
          <w:b/>
          <w:bCs/>
          <w:sz w:val="22"/>
          <w:szCs w:val="22"/>
        </w:rPr>
        <w:t>激励程度</w:t>
      </w:r>
      <w:r>
        <w:rPr>
          <w:rFonts w:ascii="Arial" w:eastAsia="楷体_GB2312" w:hAnsi="Arial" w:cs="楷体_GB2312" w:hint="eastAsia"/>
          <w:b/>
          <w:bCs/>
          <w:sz w:val="22"/>
          <w:szCs w:val="22"/>
        </w:rPr>
        <w:t>比较</w:t>
      </w:r>
      <w:r w:rsidRPr="00257F15">
        <w:rPr>
          <w:rFonts w:ascii="Arial" w:eastAsia="楷体_GB2312" w:hAnsi="Arial" w:cs="楷体_GB2312" w:hint="eastAsia"/>
          <w:b/>
          <w:bCs/>
          <w:sz w:val="22"/>
          <w:szCs w:val="22"/>
        </w:rPr>
        <w:t>：</w:t>
      </w:r>
      <w:r>
        <w:rPr>
          <w:rFonts w:ascii="Arial" w:eastAsia="楷体_GB2312" w:hAnsi="Arial" w:cs="楷体_GB2312" w:hint="eastAsia"/>
          <w:b/>
          <w:bCs/>
          <w:sz w:val="22"/>
          <w:szCs w:val="22"/>
        </w:rPr>
        <w:t>江苏各</w:t>
      </w:r>
      <w:r w:rsidRPr="00257F15">
        <w:rPr>
          <w:rFonts w:ascii="Arial" w:eastAsia="楷体_GB2312" w:hAnsi="Arial" w:cs="楷体_GB2312" w:hint="eastAsia"/>
          <w:b/>
          <w:bCs/>
          <w:sz w:val="22"/>
          <w:szCs w:val="22"/>
        </w:rPr>
        <w:t>城市高管薪酬激励程度</w:t>
      </w:r>
      <w:bookmarkEnd w:id="9"/>
      <w:r>
        <w:rPr>
          <w:rFonts w:ascii="Arial" w:eastAsia="楷体_GB2312" w:hAnsi="Arial" w:cs="楷体_GB2312" w:hint="eastAsia"/>
          <w:b/>
          <w:bCs/>
          <w:sz w:val="22"/>
          <w:szCs w:val="22"/>
        </w:rPr>
        <w:t>整体偏低，徐州最高，泰州最低</w:t>
      </w:r>
    </w:p>
    <w:p w:rsidR="00DA0843" w:rsidRDefault="00DA0843" w:rsidP="00370B4F">
      <w:pPr>
        <w:spacing w:beforeLines="50"/>
        <w:ind w:firstLineChars="200" w:firstLine="31680"/>
        <w:rPr>
          <w:rFonts w:ascii="Arial" w:eastAsia="楷体_GB2312" w:hAnsi="Arial" w:cs="Times New Roman"/>
        </w:rPr>
      </w:pPr>
      <w:r w:rsidRPr="00A36EAF">
        <w:rPr>
          <w:rFonts w:ascii="Arial" w:eastAsia="楷体_GB2312" w:hAnsi="Arial" w:cs="楷体_GB2312" w:hint="eastAsia"/>
        </w:rPr>
        <w:t>从</w:t>
      </w:r>
      <w:r w:rsidRPr="00A36EAF">
        <w:rPr>
          <w:rFonts w:ascii="Arial" w:eastAsia="楷体_GB2312" w:hAnsi="Arial" w:cs="Arial"/>
        </w:rPr>
        <w:t>201</w:t>
      </w:r>
      <w:r>
        <w:rPr>
          <w:rFonts w:ascii="Arial" w:eastAsia="楷体_GB2312" w:hAnsi="Arial" w:cs="Arial"/>
        </w:rPr>
        <w:t>2</w:t>
      </w:r>
      <w:r w:rsidRPr="00A36EAF">
        <w:rPr>
          <w:rFonts w:ascii="Arial" w:eastAsia="楷体_GB2312" w:hAnsi="Arial" w:cs="楷体_GB2312" w:hint="eastAsia"/>
        </w:rPr>
        <w:t>年江苏省不同城市的上市公司高管薪酬激励程度值均值情况来看，泰州的激励程度值均值最低，为</w:t>
      </w:r>
      <w:r w:rsidRPr="00A36EAF">
        <w:rPr>
          <w:rFonts w:ascii="Arial" w:eastAsia="楷体_GB2312" w:hAnsi="Arial" w:cs="Arial"/>
        </w:rPr>
        <w:t>0.</w:t>
      </w:r>
      <w:r>
        <w:rPr>
          <w:rFonts w:ascii="Arial" w:eastAsia="楷体_GB2312" w:hAnsi="Arial" w:cs="Arial"/>
        </w:rPr>
        <w:t>32</w:t>
      </w:r>
      <w:r w:rsidRPr="00A36EAF">
        <w:rPr>
          <w:rFonts w:ascii="Arial" w:eastAsia="楷体_GB2312" w:hAnsi="Arial" w:cs="楷体_GB2312" w:hint="eastAsia"/>
        </w:rPr>
        <w:t>；徐州的激励程度值均值最高，为</w:t>
      </w:r>
      <w:r w:rsidRPr="00A36EAF">
        <w:rPr>
          <w:rFonts w:ascii="Arial" w:eastAsia="楷体_GB2312" w:hAnsi="Arial" w:cs="Arial"/>
        </w:rPr>
        <w:t>1.</w:t>
      </w:r>
      <w:r>
        <w:rPr>
          <w:rFonts w:ascii="Arial" w:eastAsia="楷体_GB2312" w:hAnsi="Arial" w:cs="Arial"/>
        </w:rPr>
        <w:t>84</w:t>
      </w:r>
      <w:r w:rsidRPr="00A36EAF">
        <w:rPr>
          <w:rFonts w:ascii="Arial" w:eastAsia="楷体_GB2312" w:hAnsi="Arial" w:cs="楷体_GB2312" w:hint="eastAsia"/>
        </w:rPr>
        <w:t>，最高比最低高出约</w:t>
      </w:r>
      <w:r>
        <w:rPr>
          <w:rFonts w:ascii="Arial" w:eastAsia="楷体_GB2312" w:hAnsi="Arial" w:cs="Arial"/>
        </w:rPr>
        <w:t>6</w:t>
      </w:r>
      <w:r w:rsidRPr="00A36EAF">
        <w:rPr>
          <w:rFonts w:ascii="Arial" w:eastAsia="楷体_GB2312" w:hAnsi="Arial" w:cs="楷体_GB2312" w:hint="eastAsia"/>
        </w:rPr>
        <w:t>倍。</w:t>
      </w:r>
      <w:r>
        <w:rPr>
          <w:rFonts w:ascii="Arial" w:eastAsia="楷体_GB2312" w:hAnsi="Arial" w:cs="楷体_GB2312" w:hint="eastAsia"/>
        </w:rPr>
        <w:t>除徐州以外，江苏省各城市</w:t>
      </w:r>
      <w:r>
        <w:rPr>
          <w:rFonts w:ascii="Arial" w:eastAsia="楷体_GB2312" w:hAnsi="Arial" w:cs="Arial"/>
        </w:rPr>
        <w:t>2012</w:t>
      </w:r>
      <w:r>
        <w:rPr>
          <w:rFonts w:ascii="Arial" w:eastAsia="楷体_GB2312" w:hAnsi="Arial" w:cs="楷体_GB2312" w:hint="eastAsia"/>
        </w:rPr>
        <w:t>年的激励程度普遍偏低，激励程度值均低于</w:t>
      </w:r>
      <w:r>
        <w:rPr>
          <w:rFonts w:ascii="Arial" w:eastAsia="楷体_GB2312" w:hAnsi="Arial" w:cs="Arial"/>
        </w:rPr>
        <w:t>0.9</w:t>
      </w:r>
      <w:r>
        <w:rPr>
          <w:rFonts w:ascii="Arial" w:eastAsia="楷体_GB2312" w:hAnsi="Arial" w:cs="楷体_GB2312" w:hint="eastAsia"/>
        </w:rPr>
        <w:t>。激励程度值次于徐州的苏州和无锡</w:t>
      </w:r>
      <w:r w:rsidRPr="00A36EAF">
        <w:rPr>
          <w:rFonts w:ascii="Arial" w:eastAsia="楷体_GB2312" w:hAnsi="Arial" w:cs="楷体_GB2312" w:hint="eastAsia"/>
        </w:rPr>
        <w:t>两市上市公司高管薪酬激励程度值均值分别</w:t>
      </w:r>
      <w:r>
        <w:rPr>
          <w:rFonts w:ascii="Arial" w:eastAsia="楷体_GB2312" w:hAnsi="Arial" w:cs="楷体_GB2312" w:hint="eastAsia"/>
        </w:rPr>
        <w:t>仅</w:t>
      </w:r>
      <w:r w:rsidRPr="00A36EAF">
        <w:rPr>
          <w:rFonts w:ascii="Arial" w:eastAsia="楷体_GB2312" w:hAnsi="Arial" w:cs="楷体_GB2312" w:hint="eastAsia"/>
        </w:rPr>
        <w:t>为</w:t>
      </w:r>
      <w:r>
        <w:rPr>
          <w:rFonts w:ascii="Arial" w:eastAsia="楷体_GB2312" w:hAnsi="Arial" w:cs="Arial"/>
        </w:rPr>
        <w:t>0.84</w:t>
      </w:r>
      <w:r w:rsidRPr="00A36EAF">
        <w:rPr>
          <w:rFonts w:ascii="Arial" w:eastAsia="楷体_GB2312" w:hAnsi="Arial" w:cs="楷体_GB2312" w:hint="eastAsia"/>
        </w:rPr>
        <w:t>和</w:t>
      </w:r>
      <w:r>
        <w:rPr>
          <w:rFonts w:ascii="Arial" w:eastAsia="楷体_GB2312" w:hAnsi="Arial" w:cs="Arial"/>
        </w:rPr>
        <w:t>0.83</w:t>
      </w:r>
      <w:r w:rsidRPr="00A36EAF">
        <w:rPr>
          <w:rFonts w:ascii="Arial" w:eastAsia="楷体_GB2312" w:hAnsi="Arial" w:cs="楷体_GB2312" w:hint="eastAsia"/>
        </w:rPr>
        <w:t>。</w:t>
      </w:r>
    </w:p>
    <w:p w:rsidR="00DA0843" w:rsidRPr="009A54A0" w:rsidRDefault="00DA0843" w:rsidP="008D4B5F">
      <w:pPr>
        <w:spacing w:beforeLines="50"/>
        <w:outlineLvl w:val="1"/>
        <w:rPr>
          <w:rFonts w:ascii="Arial" w:eastAsia="楷体_GB2312" w:hAnsi="Arial" w:cs="Times New Roman"/>
          <w:b/>
          <w:bCs/>
          <w:sz w:val="22"/>
          <w:szCs w:val="22"/>
        </w:rPr>
      </w:pPr>
      <w:bookmarkStart w:id="10" w:name="_Toc332381643"/>
      <w:r>
        <w:rPr>
          <w:rFonts w:ascii="Arial" w:eastAsia="楷体_GB2312" w:hAnsi="Arial" w:cs="楷体_GB2312" w:hint="eastAsia"/>
          <w:b/>
          <w:bCs/>
          <w:sz w:val="22"/>
          <w:szCs w:val="22"/>
        </w:rPr>
        <w:t>不同</w:t>
      </w:r>
      <w:r w:rsidRPr="009A54A0">
        <w:rPr>
          <w:rFonts w:ascii="Arial" w:eastAsia="楷体_GB2312" w:hAnsi="Arial" w:cs="楷体_GB2312" w:hint="eastAsia"/>
          <w:b/>
          <w:bCs/>
          <w:sz w:val="22"/>
          <w:szCs w:val="22"/>
        </w:rPr>
        <w:t>所有制</w:t>
      </w:r>
      <w:r>
        <w:rPr>
          <w:rFonts w:ascii="Arial" w:eastAsia="楷体_GB2312" w:hAnsi="Arial" w:cs="楷体_GB2312" w:hint="eastAsia"/>
          <w:b/>
          <w:bCs/>
          <w:sz w:val="22"/>
          <w:szCs w:val="22"/>
        </w:rPr>
        <w:t>企业间</w:t>
      </w:r>
      <w:r w:rsidRPr="009A54A0">
        <w:rPr>
          <w:rFonts w:ascii="Arial" w:eastAsia="楷体_GB2312" w:hAnsi="Arial" w:cs="楷体_GB2312" w:hint="eastAsia"/>
          <w:b/>
          <w:bCs/>
          <w:sz w:val="22"/>
          <w:szCs w:val="22"/>
        </w:rPr>
        <w:t>激励程度</w:t>
      </w:r>
      <w:r>
        <w:rPr>
          <w:rFonts w:ascii="Arial" w:eastAsia="楷体_GB2312" w:hAnsi="Arial" w:cs="楷体_GB2312" w:hint="eastAsia"/>
          <w:b/>
          <w:bCs/>
          <w:sz w:val="22"/>
          <w:szCs w:val="22"/>
        </w:rPr>
        <w:t>比较</w:t>
      </w:r>
      <w:r w:rsidRPr="009A54A0">
        <w:rPr>
          <w:rFonts w:ascii="Arial" w:eastAsia="楷体_GB2312" w:hAnsi="Arial" w:cs="楷体_GB2312" w:hint="eastAsia"/>
          <w:b/>
          <w:bCs/>
          <w:sz w:val="22"/>
          <w:szCs w:val="22"/>
        </w:rPr>
        <w:t>：</w:t>
      </w:r>
      <w:r>
        <w:rPr>
          <w:rFonts w:ascii="Arial" w:eastAsia="楷体_GB2312" w:hAnsi="Arial" w:cs="楷体_GB2312" w:hint="eastAsia"/>
          <w:b/>
          <w:bCs/>
          <w:sz w:val="22"/>
          <w:szCs w:val="22"/>
        </w:rPr>
        <w:t>江苏</w:t>
      </w:r>
      <w:r w:rsidRPr="009A54A0">
        <w:rPr>
          <w:rFonts w:ascii="Arial" w:eastAsia="楷体_GB2312" w:hAnsi="Arial" w:cs="楷体_GB2312" w:hint="eastAsia"/>
          <w:b/>
          <w:bCs/>
          <w:sz w:val="22"/>
          <w:szCs w:val="22"/>
        </w:rPr>
        <w:t>非国有控股上市公司高管薪酬激励程度略强于国有控股上市公司</w:t>
      </w:r>
      <w:bookmarkEnd w:id="10"/>
    </w:p>
    <w:p w:rsidR="00DA0843" w:rsidRPr="00844342" w:rsidRDefault="00DA0843" w:rsidP="00370B4F">
      <w:pPr>
        <w:spacing w:beforeLines="50"/>
        <w:ind w:firstLineChars="200" w:firstLine="31680"/>
        <w:rPr>
          <w:rFonts w:ascii="Arial" w:eastAsia="楷体_GB2312" w:hAnsi="Arial" w:cs="Times New Roman"/>
          <w:b/>
          <w:bCs/>
          <w:color w:val="FF0000"/>
          <w:shd w:val="pct15" w:color="auto" w:fill="FFFFFF"/>
        </w:rPr>
      </w:pPr>
      <w:r w:rsidRPr="00E967F2">
        <w:rPr>
          <w:rFonts w:ascii="Arial" w:eastAsia="楷体_GB2312" w:hAnsi="Arial" w:cs="Arial"/>
        </w:rPr>
        <w:t>201</w:t>
      </w:r>
      <w:r>
        <w:rPr>
          <w:rFonts w:ascii="Arial" w:eastAsia="楷体_GB2312" w:hAnsi="Arial" w:cs="Arial"/>
        </w:rPr>
        <w:t>2</w:t>
      </w:r>
      <w:r w:rsidRPr="00E967F2">
        <w:rPr>
          <w:rFonts w:ascii="Arial" w:eastAsia="楷体_GB2312" w:hAnsi="Arial" w:cs="楷体_GB2312" w:hint="eastAsia"/>
        </w:rPr>
        <w:t>年江苏省</w:t>
      </w:r>
      <w:r>
        <w:rPr>
          <w:rFonts w:ascii="Arial" w:eastAsia="楷体_GB2312" w:hAnsi="Arial" w:cs="楷体_GB2312" w:hint="eastAsia"/>
        </w:rPr>
        <w:t>非国有上市公司激励程度基本处于同一水平，前者略高于后者。非国有激励程度从上年的</w:t>
      </w:r>
      <w:r>
        <w:rPr>
          <w:rFonts w:ascii="Arial" w:eastAsia="楷体_GB2312" w:hAnsi="Arial" w:cs="Arial"/>
        </w:rPr>
        <w:t>0.86</w:t>
      </w:r>
      <w:r>
        <w:rPr>
          <w:rFonts w:ascii="Arial" w:eastAsia="楷体_GB2312" w:hAnsi="Arial" w:cs="楷体_GB2312" w:hint="eastAsia"/>
        </w:rPr>
        <w:t>下降至</w:t>
      </w:r>
      <w:r>
        <w:rPr>
          <w:rFonts w:ascii="Arial" w:eastAsia="楷体_GB2312" w:hAnsi="Arial" w:cs="Arial"/>
        </w:rPr>
        <w:t>0.7989</w:t>
      </w:r>
      <w:r>
        <w:rPr>
          <w:rFonts w:ascii="Arial" w:eastAsia="楷体_GB2312" w:hAnsi="Arial" w:cs="楷体_GB2312" w:hint="eastAsia"/>
        </w:rPr>
        <w:t>，国有激励程度则较</w:t>
      </w:r>
      <w:r>
        <w:rPr>
          <w:rFonts w:ascii="Arial" w:eastAsia="楷体_GB2312" w:hAnsi="Arial" w:cs="Arial"/>
        </w:rPr>
        <w:t>2011</w:t>
      </w:r>
      <w:r>
        <w:rPr>
          <w:rFonts w:ascii="Arial" w:eastAsia="楷体_GB2312" w:hAnsi="Arial" w:cs="楷体_GB2312" w:hint="eastAsia"/>
        </w:rPr>
        <w:t>年的</w:t>
      </w:r>
      <w:r>
        <w:rPr>
          <w:rFonts w:ascii="Arial" w:eastAsia="楷体_GB2312" w:hAnsi="Arial" w:cs="Arial"/>
        </w:rPr>
        <w:t>0.78</w:t>
      </w:r>
      <w:r>
        <w:rPr>
          <w:rFonts w:ascii="Arial" w:eastAsia="楷体_GB2312" w:hAnsi="Arial" w:cs="楷体_GB2312" w:hint="eastAsia"/>
        </w:rPr>
        <w:t>水平有了略微的提升，达到了</w:t>
      </w:r>
      <w:r>
        <w:rPr>
          <w:rFonts w:ascii="Arial" w:eastAsia="楷体_GB2312" w:hAnsi="Arial" w:cs="Arial"/>
        </w:rPr>
        <w:t>0.7985</w:t>
      </w:r>
      <w:r>
        <w:rPr>
          <w:rFonts w:ascii="Arial" w:eastAsia="楷体_GB2312" w:hAnsi="Arial" w:cs="楷体_GB2312" w:hint="eastAsia"/>
        </w:rPr>
        <w:t>。两者</w:t>
      </w:r>
      <w:r w:rsidRPr="008F15A2">
        <w:rPr>
          <w:rFonts w:ascii="Arial" w:eastAsia="楷体_GB2312" w:hAnsi="Arial" w:cs="楷体_GB2312" w:hint="eastAsia"/>
        </w:rPr>
        <w:t>与全国</w:t>
      </w:r>
      <w:r>
        <w:rPr>
          <w:rFonts w:ascii="Arial" w:eastAsia="楷体_GB2312" w:hAnsi="Arial" w:cs="楷体_GB2312" w:hint="eastAsia"/>
        </w:rPr>
        <w:t>水平</w:t>
      </w:r>
      <w:r w:rsidRPr="008F15A2">
        <w:rPr>
          <w:rFonts w:ascii="Arial" w:eastAsia="楷体_GB2312" w:hAnsi="Arial" w:cs="楷体_GB2312" w:hint="eastAsia"/>
        </w:rPr>
        <w:t>相比存在较大差距。</w:t>
      </w:r>
    </w:p>
    <w:p w:rsidR="00DA0843" w:rsidRPr="003A5267" w:rsidRDefault="00DA0843" w:rsidP="008D4B5F">
      <w:pPr>
        <w:spacing w:beforeLines="50"/>
        <w:outlineLvl w:val="1"/>
        <w:rPr>
          <w:rFonts w:ascii="Arial" w:eastAsia="楷体_GB2312" w:hAnsi="Arial" w:cs="Times New Roman"/>
          <w:b/>
          <w:bCs/>
          <w:sz w:val="22"/>
          <w:szCs w:val="22"/>
        </w:rPr>
      </w:pPr>
      <w:bookmarkStart w:id="11" w:name="_Toc332381644"/>
      <w:r>
        <w:rPr>
          <w:rFonts w:ascii="Arial" w:eastAsia="楷体_GB2312" w:hAnsi="Arial" w:cs="楷体_GB2312" w:hint="eastAsia"/>
          <w:b/>
          <w:bCs/>
          <w:sz w:val="22"/>
          <w:szCs w:val="22"/>
        </w:rPr>
        <w:t>激励程度与企业价值创造：江苏</w:t>
      </w:r>
      <w:r w:rsidRPr="003A5267">
        <w:rPr>
          <w:rFonts w:ascii="Arial" w:eastAsia="楷体_GB2312" w:hAnsi="Arial" w:cs="楷体_GB2312" w:hint="eastAsia"/>
          <w:b/>
          <w:bCs/>
          <w:sz w:val="22"/>
          <w:szCs w:val="22"/>
        </w:rPr>
        <w:t>高管薪酬激励程度与其创造的企业价值</w:t>
      </w:r>
      <w:bookmarkEnd w:id="11"/>
      <w:r w:rsidRPr="003A5267">
        <w:rPr>
          <w:rFonts w:ascii="Arial" w:eastAsia="楷体_GB2312" w:hAnsi="Arial" w:cs="楷体_GB2312" w:hint="eastAsia"/>
          <w:b/>
          <w:bCs/>
          <w:sz w:val="22"/>
          <w:szCs w:val="22"/>
        </w:rPr>
        <w:t>呈正比关系</w:t>
      </w:r>
    </w:p>
    <w:p w:rsidR="00DA0843" w:rsidRPr="003A5267" w:rsidRDefault="00DA0843" w:rsidP="00370B4F">
      <w:pPr>
        <w:spacing w:beforeLines="50"/>
        <w:ind w:firstLineChars="200" w:firstLine="31680"/>
        <w:rPr>
          <w:rFonts w:ascii="Arial" w:eastAsia="楷体_GB2312" w:hAnsi="Arial" w:cs="Times New Roman"/>
        </w:rPr>
      </w:pPr>
      <w:r>
        <w:rPr>
          <w:rFonts w:ascii="Arial" w:eastAsia="楷体_GB2312" w:hAnsi="Arial" w:cs="楷体_GB2312" w:hint="eastAsia"/>
        </w:rPr>
        <w:t>联合咨询中心</w:t>
      </w:r>
      <w:r w:rsidRPr="003A5267">
        <w:rPr>
          <w:rFonts w:ascii="Arial" w:eastAsia="楷体_GB2312" w:hAnsi="Arial" w:cs="楷体_GB2312" w:hint="eastAsia"/>
        </w:rPr>
        <w:t>通过比对上市公司高管薪酬激励程度排名前十、适中、后十以及平均的情况，发现当年高管薪酬激励程度越高，给企业创造的价值越高。</w:t>
      </w:r>
    </w:p>
    <w:p w:rsidR="00DA0843" w:rsidRPr="009F2B5C" w:rsidRDefault="00DA0843" w:rsidP="00370B4F">
      <w:pPr>
        <w:spacing w:beforeLines="50"/>
        <w:ind w:firstLineChars="200" w:firstLine="31680"/>
        <w:rPr>
          <w:rFonts w:ascii="Arial" w:eastAsia="楷体_GB2312" w:hAnsi="Arial" w:cs="Times New Roman"/>
        </w:rPr>
      </w:pPr>
      <w:r w:rsidRPr="009F2B5C">
        <w:rPr>
          <w:rFonts w:ascii="Arial" w:eastAsia="楷体_GB2312" w:hAnsi="Arial" w:cs="楷体_GB2312" w:hint="eastAsia"/>
        </w:rPr>
        <w:t>徐工机械（</w:t>
      </w:r>
      <w:r w:rsidRPr="009F2B5C">
        <w:rPr>
          <w:rFonts w:ascii="Arial" w:eastAsia="楷体_GB2312" w:hAnsi="Arial" w:cs="Arial"/>
        </w:rPr>
        <w:t>000425</w:t>
      </w:r>
      <w:r w:rsidRPr="009F2B5C">
        <w:rPr>
          <w:rFonts w:ascii="Arial" w:eastAsia="楷体_GB2312" w:hAnsi="Arial" w:cs="楷体_GB2312" w:hint="eastAsia"/>
        </w:rPr>
        <w:t>）高管薪酬激励程度值为</w:t>
      </w:r>
      <w:r w:rsidRPr="009F2B5C">
        <w:rPr>
          <w:rFonts w:ascii="Arial" w:eastAsia="楷体_GB2312" w:hAnsi="Arial" w:cs="Arial"/>
        </w:rPr>
        <w:t>3.59</w:t>
      </w:r>
      <w:r w:rsidRPr="009F2B5C">
        <w:rPr>
          <w:rFonts w:ascii="Arial" w:eastAsia="楷体_GB2312" w:hAnsi="Arial" w:cs="楷体_GB2312" w:hint="eastAsia"/>
        </w:rPr>
        <w:t>，排在江苏地区上市公司高管薪酬激励程度榜第一位，在全国</w:t>
      </w:r>
      <w:r>
        <w:rPr>
          <w:rFonts w:ascii="Arial" w:eastAsia="楷体_GB2312" w:hAnsi="Arial" w:cs="楷体_GB2312" w:hint="eastAsia"/>
        </w:rPr>
        <w:t>激励程度榜中排名</w:t>
      </w:r>
      <w:r w:rsidRPr="009F2B5C">
        <w:rPr>
          <w:rFonts w:ascii="Arial" w:eastAsia="楷体_GB2312" w:hAnsi="Arial" w:cs="楷体_GB2312" w:hint="eastAsia"/>
        </w:rPr>
        <w:t>第</w:t>
      </w:r>
      <w:r>
        <w:rPr>
          <w:rFonts w:ascii="Arial" w:eastAsia="楷体_GB2312" w:hAnsi="Arial" w:cs="Arial"/>
        </w:rPr>
        <w:t>45</w:t>
      </w:r>
      <w:r w:rsidRPr="009F2B5C">
        <w:rPr>
          <w:rFonts w:ascii="Arial" w:eastAsia="楷体_GB2312" w:hAnsi="Arial" w:cs="楷体_GB2312" w:hint="eastAsia"/>
        </w:rPr>
        <w:t>位。小天鹅</w:t>
      </w:r>
      <w:r w:rsidRPr="009F2B5C">
        <w:rPr>
          <w:rFonts w:ascii="Arial" w:eastAsia="楷体_GB2312" w:hAnsi="Arial" w:cs="Arial"/>
        </w:rPr>
        <w:t>A</w:t>
      </w:r>
      <w:r w:rsidRPr="009F2B5C">
        <w:rPr>
          <w:rFonts w:ascii="Arial" w:eastAsia="楷体_GB2312" w:hAnsi="Arial" w:cs="楷体_GB2312" w:hint="eastAsia"/>
        </w:rPr>
        <w:t>（</w:t>
      </w:r>
      <w:r w:rsidRPr="009F2B5C">
        <w:rPr>
          <w:rFonts w:ascii="Arial" w:eastAsia="楷体_GB2312" w:hAnsi="Arial" w:cs="Arial"/>
        </w:rPr>
        <w:t>000418</w:t>
      </w:r>
      <w:r w:rsidRPr="009F2B5C">
        <w:rPr>
          <w:rFonts w:ascii="Arial" w:eastAsia="楷体_GB2312" w:hAnsi="Arial" w:cs="楷体_GB2312" w:hint="eastAsia"/>
        </w:rPr>
        <w:t>）、</w:t>
      </w:r>
      <w:r>
        <w:rPr>
          <w:rFonts w:ascii="Arial" w:eastAsia="楷体_GB2312" w:hAnsi="Arial" w:cs="楷体_GB2312" w:hint="eastAsia"/>
        </w:rPr>
        <w:t>栖霞建设</w:t>
      </w:r>
      <w:r w:rsidRPr="009F2B5C">
        <w:rPr>
          <w:rFonts w:ascii="Arial" w:eastAsia="楷体_GB2312" w:hAnsi="Arial" w:cs="楷体_GB2312" w:hint="eastAsia"/>
        </w:rPr>
        <w:t>（</w:t>
      </w:r>
      <w:r w:rsidRPr="009F2B5C">
        <w:rPr>
          <w:rFonts w:ascii="Arial" w:eastAsia="楷体_GB2312" w:hAnsi="Arial" w:cs="Arial"/>
        </w:rPr>
        <w:t>600</w:t>
      </w:r>
      <w:r>
        <w:rPr>
          <w:rFonts w:ascii="Arial" w:eastAsia="楷体_GB2312" w:hAnsi="Arial" w:cs="Arial"/>
        </w:rPr>
        <w:t>533</w:t>
      </w:r>
      <w:r w:rsidRPr="009F2B5C">
        <w:rPr>
          <w:rFonts w:ascii="Arial" w:eastAsia="楷体_GB2312" w:hAnsi="Arial" w:cs="楷体_GB2312" w:hint="eastAsia"/>
        </w:rPr>
        <w:t>）依次排在第二、三位。如意集团（</w:t>
      </w:r>
      <w:r w:rsidRPr="009F2B5C">
        <w:rPr>
          <w:rFonts w:ascii="Arial" w:eastAsia="楷体_GB2312" w:hAnsi="Arial" w:cs="Arial"/>
        </w:rPr>
        <w:t>000626</w:t>
      </w:r>
      <w:r w:rsidRPr="009F2B5C">
        <w:rPr>
          <w:rFonts w:ascii="Arial" w:eastAsia="楷体_GB2312" w:hAnsi="Arial" w:cs="楷体_GB2312" w:hint="eastAsia"/>
        </w:rPr>
        <w:t>）高管薪酬激励程度值仅为</w:t>
      </w:r>
      <w:r w:rsidRPr="009F2B5C">
        <w:rPr>
          <w:rFonts w:ascii="Arial" w:eastAsia="楷体_GB2312" w:hAnsi="Arial" w:cs="Arial"/>
        </w:rPr>
        <w:t>0.05</w:t>
      </w:r>
      <w:r w:rsidRPr="009F2B5C">
        <w:rPr>
          <w:rFonts w:ascii="Arial" w:eastAsia="楷体_GB2312" w:hAnsi="Arial" w:cs="楷体_GB2312" w:hint="eastAsia"/>
        </w:rPr>
        <w:t>，排在江苏</w:t>
      </w:r>
      <w:r>
        <w:rPr>
          <w:rFonts w:ascii="Arial" w:eastAsia="楷体_GB2312" w:hAnsi="Arial" w:cs="楷体_GB2312" w:hint="eastAsia"/>
        </w:rPr>
        <w:t>地区最末，在全国的排名也靠后</w:t>
      </w:r>
      <w:r w:rsidRPr="009F2B5C">
        <w:rPr>
          <w:rFonts w:ascii="Arial" w:eastAsia="楷体_GB2312" w:hAnsi="Arial" w:cs="楷体_GB2312" w:hint="eastAsia"/>
        </w:rPr>
        <w:t>。</w:t>
      </w:r>
    </w:p>
    <w:p w:rsidR="00DA0843" w:rsidRDefault="00DA0843" w:rsidP="00370B4F">
      <w:pPr>
        <w:spacing w:beforeLines="50"/>
        <w:ind w:firstLineChars="200" w:firstLine="31680"/>
        <w:rPr>
          <w:rFonts w:ascii="Arial" w:eastAsia="楷体_GB2312" w:hAnsi="Arial" w:cs="Times New Roman"/>
        </w:rPr>
      </w:pPr>
      <w:r>
        <w:rPr>
          <w:rFonts w:ascii="Arial" w:eastAsia="楷体_GB2312" w:hAnsi="Arial" w:cs="楷体_GB2312" w:hint="eastAsia"/>
        </w:rPr>
        <w:t>联合咨询中心分析</w:t>
      </w:r>
      <w:r w:rsidRPr="003A5267">
        <w:rPr>
          <w:rFonts w:ascii="Arial" w:eastAsia="楷体_GB2312" w:hAnsi="Arial" w:cs="楷体_GB2312" w:hint="eastAsia"/>
        </w:rPr>
        <w:t>发现，</w:t>
      </w:r>
      <w:r w:rsidRPr="00C71B9D">
        <w:rPr>
          <w:rFonts w:ascii="Arial" w:eastAsia="楷体_GB2312" w:hAnsi="Arial" w:cs="Arial"/>
        </w:rPr>
        <w:t>201</w:t>
      </w:r>
      <w:r>
        <w:rPr>
          <w:rFonts w:ascii="Arial" w:eastAsia="楷体_GB2312" w:hAnsi="Arial" w:cs="Arial"/>
        </w:rPr>
        <w:t>2</w:t>
      </w:r>
      <w:r w:rsidRPr="00C71B9D">
        <w:rPr>
          <w:rFonts w:ascii="Arial" w:eastAsia="楷体_GB2312" w:hAnsi="Arial" w:cs="楷体_GB2312" w:hint="eastAsia"/>
        </w:rPr>
        <w:t>年高管激励程度前十的上市公司，相应的</w:t>
      </w:r>
      <w:r w:rsidRPr="00C71B9D">
        <w:rPr>
          <w:rFonts w:ascii="Arial" w:eastAsia="楷体_GB2312" w:hAnsi="Arial" w:cs="Arial"/>
        </w:rPr>
        <w:t>201</w:t>
      </w:r>
      <w:r>
        <w:rPr>
          <w:rFonts w:ascii="Arial" w:eastAsia="楷体_GB2312" w:hAnsi="Arial" w:cs="Arial"/>
        </w:rPr>
        <w:t>2</w:t>
      </w:r>
      <w:r w:rsidRPr="00C71B9D">
        <w:rPr>
          <w:rFonts w:ascii="Arial" w:eastAsia="楷体_GB2312" w:hAnsi="Arial" w:cs="楷体_GB2312" w:hint="eastAsia"/>
        </w:rPr>
        <w:t>年公司净利润、公司净资产收益率也较高。同时，高管薪酬激励程度越弱，其公司经营情况越落后。由于高管获得较高的薪酬激励，愿意将更多的精力、资源投入到经营和管理行为当中，从而能够为企业带来更大效益。因此，强化对高管的强激励，对于企业的经营发展有着重要的价值。</w:t>
      </w:r>
    </w:p>
    <w:p w:rsidR="00DA0843" w:rsidRPr="009A54A0" w:rsidRDefault="00DA0843" w:rsidP="008D4B5F">
      <w:pPr>
        <w:spacing w:beforeLines="50" w:line="276" w:lineRule="auto"/>
        <w:outlineLvl w:val="0"/>
        <w:rPr>
          <w:rFonts w:ascii="Arial" w:eastAsia="楷体_GB2312" w:hAnsi="Arial" w:cs="Times New Roman"/>
          <w:b/>
          <w:bCs/>
          <w:sz w:val="24"/>
          <w:szCs w:val="24"/>
        </w:rPr>
      </w:pPr>
      <w:r>
        <w:rPr>
          <w:rFonts w:ascii="Arial" w:eastAsia="楷体_GB2312" w:hAnsi="Arial" w:cs="楷体_GB2312" w:hint="eastAsia"/>
          <w:b/>
          <w:bCs/>
          <w:sz w:val="24"/>
          <w:szCs w:val="24"/>
        </w:rPr>
        <w:t>江苏上市公司高管薪酬激励的问题与建议</w:t>
      </w:r>
    </w:p>
    <w:p w:rsidR="00DA0843" w:rsidRPr="00F954B3" w:rsidRDefault="00DA0843" w:rsidP="00370B4F">
      <w:pPr>
        <w:spacing w:before="120"/>
        <w:ind w:firstLineChars="200" w:firstLine="31680"/>
        <w:rPr>
          <w:rFonts w:ascii="Arial" w:eastAsia="楷体_GB2312" w:hAnsi="Arial" w:cs="Times New Roman"/>
        </w:rPr>
      </w:pPr>
      <w:r w:rsidRPr="00F954B3">
        <w:rPr>
          <w:rFonts w:ascii="Arial" w:eastAsia="楷体_GB2312" w:hAnsi="Arial" w:cs="楷体_GB2312" w:hint="eastAsia"/>
        </w:rPr>
        <w:t>综合</w:t>
      </w:r>
      <w:r>
        <w:rPr>
          <w:rFonts w:ascii="Arial" w:eastAsia="楷体_GB2312" w:hAnsi="Arial" w:cs="楷体_GB2312" w:hint="eastAsia"/>
        </w:rPr>
        <w:t>联合咨询中心</w:t>
      </w:r>
      <w:r w:rsidRPr="00F954B3">
        <w:rPr>
          <w:rFonts w:ascii="Arial" w:eastAsia="楷体_GB2312" w:hAnsi="Arial" w:cs="楷体_GB2312" w:hint="eastAsia"/>
        </w:rPr>
        <w:t>对</w:t>
      </w:r>
      <w:r w:rsidRPr="00F954B3">
        <w:rPr>
          <w:rFonts w:ascii="Arial" w:eastAsia="楷体_GB2312" w:hAnsi="Arial" w:cs="Arial"/>
        </w:rPr>
        <w:t>2012</w:t>
      </w:r>
      <w:r w:rsidRPr="00F954B3">
        <w:rPr>
          <w:rFonts w:ascii="Arial" w:eastAsia="楷体_GB2312" w:hAnsi="Arial" w:cs="楷体_GB2312" w:hint="eastAsia"/>
        </w:rPr>
        <w:t>年</w:t>
      </w:r>
      <w:r>
        <w:rPr>
          <w:rFonts w:ascii="Arial" w:eastAsia="楷体_GB2312" w:hAnsi="Arial" w:cs="楷体_GB2312" w:hint="eastAsia"/>
        </w:rPr>
        <w:t>中国上市公司高管薪酬基本情况和激励性数据挖掘分析，联合咨询中心认为，江苏地区</w:t>
      </w:r>
      <w:r w:rsidRPr="00F954B3">
        <w:rPr>
          <w:rFonts w:ascii="Arial" w:eastAsia="楷体_GB2312" w:hAnsi="Arial" w:cs="楷体_GB2312" w:hint="eastAsia"/>
        </w:rPr>
        <w:t>上市公司高管薪酬仍然面临许多问题挑战，高管薪酬制度建设和实践操作仍然需要突破。</w:t>
      </w:r>
    </w:p>
    <w:p w:rsidR="00DA0843" w:rsidRPr="00B0113F" w:rsidRDefault="00DA0843" w:rsidP="00792317">
      <w:pPr>
        <w:spacing w:before="120"/>
        <w:outlineLvl w:val="1"/>
        <w:rPr>
          <w:rFonts w:ascii="Arial" w:eastAsia="楷体_GB2312" w:hAnsi="Arial" w:cs="Times New Roman"/>
          <w:b/>
          <w:bCs/>
          <w:sz w:val="22"/>
          <w:szCs w:val="22"/>
        </w:rPr>
      </w:pPr>
      <w:r w:rsidRPr="00B0113F">
        <w:rPr>
          <w:rFonts w:ascii="Arial" w:eastAsia="楷体_GB2312" w:hAnsi="Arial" w:cs="楷体_GB2312" w:hint="eastAsia"/>
          <w:b/>
          <w:bCs/>
          <w:sz w:val="22"/>
          <w:szCs w:val="22"/>
        </w:rPr>
        <w:t>江苏地区上市公司高管薪酬水平有待合理提升</w:t>
      </w:r>
    </w:p>
    <w:p w:rsidR="00DA0843" w:rsidRDefault="00DA0843" w:rsidP="00370B4F">
      <w:pPr>
        <w:spacing w:before="120"/>
        <w:ind w:firstLineChars="200" w:firstLine="31680"/>
        <w:rPr>
          <w:rFonts w:ascii="Arial" w:eastAsia="楷体_GB2312" w:hAnsi="Arial" w:cs="Times New Roman"/>
        </w:rPr>
      </w:pPr>
      <w:r w:rsidRPr="00F954B3">
        <w:rPr>
          <w:rFonts w:ascii="Arial" w:eastAsia="楷体_GB2312" w:hAnsi="Arial" w:cs="楷体_GB2312" w:hint="eastAsia"/>
        </w:rPr>
        <w:t>江苏地区上市公司薪酬水平逐年上升，但相较于江苏地区上市公司的发展水平来说，高管薪酬的激励程度较低</w:t>
      </w:r>
      <w:r>
        <w:rPr>
          <w:rFonts w:ascii="Arial" w:eastAsia="楷体_GB2312" w:hAnsi="Arial" w:cs="楷体_GB2312" w:hint="eastAsia"/>
        </w:rPr>
        <w:t>，</w:t>
      </w:r>
      <w:r w:rsidRPr="00FD0618">
        <w:rPr>
          <w:rFonts w:ascii="Arial" w:eastAsia="楷体_GB2312" w:hAnsi="Arial" w:cs="楷体_GB2312" w:hint="eastAsia"/>
        </w:rPr>
        <w:t>上市公司高管薪酬水平还有待合理提升，其原因既在于国际之间行业竞争的激烈性，又在于高管职位高薪与高风险并存的特殊性。</w:t>
      </w:r>
    </w:p>
    <w:p w:rsidR="00DA0843" w:rsidRPr="00F954B3" w:rsidRDefault="00DA0843" w:rsidP="00370B4F">
      <w:pPr>
        <w:spacing w:before="120"/>
        <w:ind w:firstLineChars="200" w:firstLine="31680"/>
        <w:rPr>
          <w:rFonts w:ascii="Arial" w:eastAsia="楷体_GB2312" w:hAnsi="Arial" w:cs="Times New Roman"/>
        </w:rPr>
      </w:pPr>
      <w:r w:rsidRPr="00F954B3">
        <w:rPr>
          <w:rFonts w:ascii="Arial" w:eastAsia="楷体_GB2312" w:hAnsi="Arial" w:cs="楷体_GB2312" w:hint="eastAsia"/>
        </w:rPr>
        <w:t>就国际之间行业竞争的</w:t>
      </w:r>
      <w:r>
        <w:rPr>
          <w:rFonts w:ascii="Arial" w:eastAsia="楷体_GB2312" w:hAnsi="Arial" w:cs="楷体_GB2312" w:hint="eastAsia"/>
        </w:rPr>
        <w:t>激烈</w:t>
      </w:r>
      <w:r w:rsidRPr="00F954B3">
        <w:rPr>
          <w:rFonts w:ascii="Arial" w:eastAsia="楷体_GB2312" w:hAnsi="Arial" w:cs="楷体_GB2312" w:hint="eastAsia"/>
        </w:rPr>
        <w:t>性角度而言，上市公司高管在一些市场化程度较高的行业中是极为稀缺的资源，企业发展业绩的竞争到最后实际演变成了高端人才的争夺战。中国上市公司如今面临着与国际竞争的巨大压力，但国内上市公司所能提供的薪酬水平在同行业的竞争中往往远不如外企</w:t>
      </w:r>
      <w:r>
        <w:rPr>
          <w:rFonts w:ascii="Arial" w:eastAsia="楷体_GB2312" w:hAnsi="Arial" w:cs="楷体_GB2312" w:hint="eastAsia"/>
        </w:rPr>
        <w:t>，</w:t>
      </w:r>
      <w:r w:rsidRPr="00F954B3">
        <w:rPr>
          <w:rFonts w:ascii="Arial" w:eastAsia="楷体_GB2312" w:hAnsi="Arial" w:cs="楷体_GB2312" w:hint="eastAsia"/>
        </w:rPr>
        <w:t>与国际公司薪酬激励水平的巨大差距使得人才的吸引和保留成为举步维艰的事，企业时常因薪资的问题而面临优秀人才的流失。</w:t>
      </w:r>
    </w:p>
    <w:p w:rsidR="00DA0843" w:rsidRPr="00F954B3" w:rsidRDefault="00DA0843" w:rsidP="00370B4F">
      <w:pPr>
        <w:spacing w:before="120"/>
        <w:ind w:firstLineChars="200" w:firstLine="31680"/>
        <w:rPr>
          <w:rFonts w:ascii="Arial" w:eastAsia="楷体_GB2312" w:hAnsi="Arial" w:cs="Times New Roman"/>
        </w:rPr>
      </w:pPr>
      <w:r w:rsidRPr="00F954B3">
        <w:rPr>
          <w:rFonts w:ascii="Arial" w:eastAsia="楷体_GB2312" w:hAnsi="Arial" w:cs="楷体_GB2312" w:hint="eastAsia"/>
        </w:rPr>
        <w:t>就上市公司高管职位本身的特殊性而言，高管所享受的较高薪酬待遇与其所需承担的高风险是共存的。上市公司在对高管人才进行激励时，并非只奖不罚，而是正向激励与负向激励并举的，高管人才不只享受高薪资待遇，相比公务员等其他职位，也承担高风险。因此，高管薪酬的水平与高管能创造的价值是相对应的，高管薪酬处于较高水平恰恰说明了高管为公司创造了更多的价值。</w:t>
      </w:r>
    </w:p>
    <w:p w:rsidR="00DA0843" w:rsidRPr="00F954B3" w:rsidRDefault="00DA0843" w:rsidP="00370B4F">
      <w:pPr>
        <w:spacing w:before="120"/>
        <w:ind w:firstLineChars="200" w:firstLine="31680"/>
        <w:rPr>
          <w:rFonts w:ascii="Arial" w:eastAsia="楷体_GB2312" w:hAnsi="Arial" w:cs="Times New Roman"/>
        </w:rPr>
      </w:pPr>
      <w:r w:rsidRPr="00F954B3">
        <w:rPr>
          <w:rFonts w:ascii="Arial" w:eastAsia="楷体_GB2312" w:hAnsi="Arial" w:cs="楷体_GB2312" w:hint="eastAsia"/>
        </w:rPr>
        <w:t>当前，人才已经成为企业发展的关键要素，尤其对于高级管理人才。企业要获得发展，必须要保留具有核心价值的高级管理人员，加强对高管人员的激励</w:t>
      </w:r>
      <w:r>
        <w:rPr>
          <w:rFonts w:ascii="Arial" w:eastAsia="楷体_GB2312" w:hAnsi="Arial" w:cs="楷体_GB2312" w:hint="eastAsia"/>
        </w:rPr>
        <w:t>水平</w:t>
      </w:r>
      <w:r w:rsidRPr="00F954B3">
        <w:rPr>
          <w:rFonts w:ascii="Arial" w:eastAsia="楷体_GB2312" w:hAnsi="Arial" w:cs="楷体_GB2312" w:hint="eastAsia"/>
        </w:rPr>
        <w:t>成为必要的手段。</w:t>
      </w:r>
    </w:p>
    <w:p w:rsidR="00DA0843" w:rsidRPr="00792317" w:rsidRDefault="00DA0843" w:rsidP="00792317">
      <w:pPr>
        <w:spacing w:before="120"/>
        <w:outlineLvl w:val="1"/>
        <w:rPr>
          <w:rFonts w:ascii="Arial" w:eastAsia="楷体_GB2312" w:hAnsi="Arial" w:cs="Times New Roman"/>
          <w:b/>
          <w:bCs/>
          <w:sz w:val="22"/>
          <w:szCs w:val="22"/>
        </w:rPr>
      </w:pPr>
      <w:r w:rsidRPr="00792317">
        <w:rPr>
          <w:rFonts w:ascii="Arial" w:eastAsia="楷体_GB2312" w:hAnsi="Arial" w:cs="楷体_GB2312" w:hint="eastAsia"/>
          <w:b/>
          <w:bCs/>
          <w:sz w:val="22"/>
          <w:szCs w:val="22"/>
        </w:rPr>
        <w:t>江苏地区多数上市公司高管薪酬结构仍未健全</w:t>
      </w:r>
    </w:p>
    <w:p w:rsidR="00DA0843" w:rsidRPr="00F954B3" w:rsidRDefault="00DA0843" w:rsidP="00370B4F">
      <w:pPr>
        <w:spacing w:before="120"/>
        <w:ind w:firstLineChars="200" w:firstLine="31680"/>
        <w:rPr>
          <w:rFonts w:ascii="Arial" w:eastAsia="楷体_GB2312" w:hAnsi="Arial" w:cs="Times New Roman"/>
        </w:rPr>
      </w:pPr>
      <w:r w:rsidRPr="00F954B3">
        <w:rPr>
          <w:rFonts w:ascii="Arial" w:eastAsia="楷体_GB2312" w:hAnsi="Arial" w:cs="楷体_GB2312" w:hint="eastAsia"/>
        </w:rPr>
        <w:t>对上市公司来说，协调管理层与股东的利益是一项根本性的挑战，而健全的高管薪酬结构是使两者利益密切联系并趋于一致的至关重要的手段。目前</w:t>
      </w:r>
      <w:r>
        <w:rPr>
          <w:rFonts w:ascii="Arial" w:eastAsia="楷体_GB2312" w:hAnsi="Arial" w:cs="楷体_GB2312" w:hint="eastAsia"/>
        </w:rPr>
        <w:t>江苏</w:t>
      </w:r>
      <w:r w:rsidRPr="00F954B3">
        <w:rPr>
          <w:rFonts w:ascii="Arial" w:eastAsia="楷体_GB2312" w:hAnsi="Arial" w:cs="楷体_GB2312" w:hint="eastAsia"/>
        </w:rPr>
        <w:t>上市公司高管薪酬结构和体制仍然是固定部分以及企业短期效益相关部分占的比重大，而风险报酬的比重很小。截止到</w:t>
      </w:r>
      <w:r w:rsidRPr="00F954B3">
        <w:rPr>
          <w:rFonts w:ascii="Arial" w:eastAsia="楷体_GB2312" w:hAnsi="Arial" w:cs="Arial"/>
        </w:rPr>
        <w:t>2013</w:t>
      </w:r>
      <w:r w:rsidRPr="00F954B3">
        <w:rPr>
          <w:rFonts w:ascii="Arial" w:eastAsia="楷体_GB2312" w:hAnsi="Arial" w:cs="楷体_GB2312" w:hint="eastAsia"/>
        </w:rPr>
        <w:t>年</w:t>
      </w:r>
      <w:r w:rsidRPr="00F954B3">
        <w:rPr>
          <w:rFonts w:ascii="Arial" w:eastAsia="楷体_GB2312" w:hAnsi="Arial" w:cs="Arial"/>
        </w:rPr>
        <w:t>5</w:t>
      </w:r>
      <w:r w:rsidRPr="00F954B3">
        <w:rPr>
          <w:rFonts w:ascii="Arial" w:eastAsia="楷体_GB2312" w:hAnsi="Arial" w:cs="楷体_GB2312" w:hint="eastAsia"/>
        </w:rPr>
        <w:t>月</w:t>
      </w:r>
      <w:r>
        <w:rPr>
          <w:rFonts w:ascii="Arial" w:eastAsia="楷体_GB2312" w:hAnsi="Arial" w:cs="楷体_GB2312" w:hint="eastAsia"/>
        </w:rPr>
        <w:t>，沪深两市仅</w:t>
      </w:r>
      <w:r>
        <w:rPr>
          <w:rFonts w:ascii="Arial" w:eastAsia="楷体_GB2312" w:hAnsi="Arial" w:cs="Arial"/>
        </w:rPr>
        <w:t>18.8%</w:t>
      </w:r>
      <w:r>
        <w:rPr>
          <w:rFonts w:ascii="Arial" w:eastAsia="楷体_GB2312" w:hAnsi="Arial" w:cs="楷体_GB2312" w:hint="eastAsia"/>
        </w:rPr>
        <w:t>的上市公司推行过股权激励方案，江苏地区正在实施股权激励方案的上市公司仅占</w:t>
      </w:r>
      <w:r>
        <w:rPr>
          <w:rFonts w:ascii="Arial" w:eastAsia="楷体_GB2312" w:hAnsi="Arial" w:cs="Arial"/>
        </w:rPr>
        <w:t>11.9%</w:t>
      </w:r>
      <w:r w:rsidRPr="00F954B3">
        <w:rPr>
          <w:rFonts w:ascii="Arial" w:eastAsia="楷体_GB2312" w:hAnsi="Arial" w:cs="楷体_GB2312" w:hint="eastAsia"/>
        </w:rPr>
        <w:t>，这一比例相较国外其他地区而言相去甚远。在理想的高管薪酬结构中，固定薪酬、短期激励、长期激励的比例为</w:t>
      </w:r>
      <w:r w:rsidRPr="00F954B3">
        <w:rPr>
          <w:rFonts w:ascii="Arial" w:eastAsia="楷体_GB2312" w:hAnsi="Arial" w:cs="Arial"/>
        </w:rPr>
        <w:t>1</w:t>
      </w:r>
      <w:r w:rsidRPr="00F954B3">
        <w:rPr>
          <w:rFonts w:ascii="Arial" w:eastAsia="楷体_GB2312" w:hAnsi="Arial" w:cs="楷体_GB2312" w:hint="eastAsia"/>
        </w:rPr>
        <w:t>：</w:t>
      </w:r>
      <w:r w:rsidRPr="00F954B3">
        <w:rPr>
          <w:rFonts w:ascii="Arial" w:eastAsia="楷体_GB2312" w:hAnsi="Arial" w:cs="Arial"/>
        </w:rPr>
        <w:t>3</w:t>
      </w:r>
      <w:r w:rsidRPr="00F954B3">
        <w:rPr>
          <w:rFonts w:ascii="Arial" w:eastAsia="楷体_GB2312" w:hAnsi="Arial" w:cs="楷体_GB2312" w:hint="eastAsia"/>
        </w:rPr>
        <w:t>：</w:t>
      </w:r>
      <w:r w:rsidRPr="00F954B3">
        <w:rPr>
          <w:rFonts w:ascii="Arial" w:eastAsia="楷体_GB2312" w:hAnsi="Arial" w:cs="Arial"/>
        </w:rPr>
        <w:t>6</w:t>
      </w:r>
      <w:r w:rsidRPr="00F954B3">
        <w:rPr>
          <w:rFonts w:ascii="Arial" w:eastAsia="楷体_GB2312" w:hAnsi="Arial" w:cs="楷体_GB2312" w:hint="eastAsia"/>
        </w:rPr>
        <w:t>，这点在欧美、香港等地上市的公司基本形成了共识，高管薪酬的风险报酬比例较高，高管薪酬基本都是</w:t>
      </w:r>
      <w:r w:rsidRPr="00F954B3">
        <w:rPr>
          <w:rFonts w:ascii="Arial" w:eastAsia="楷体_GB2312" w:hAnsi="Arial" w:cs="Arial"/>
        </w:rPr>
        <w:t>“</w:t>
      </w:r>
      <w:r w:rsidRPr="00F954B3">
        <w:rPr>
          <w:rFonts w:ascii="Arial" w:eastAsia="楷体_GB2312" w:hAnsi="Arial" w:cs="楷体_GB2312" w:hint="eastAsia"/>
        </w:rPr>
        <w:t>固定薪酬</w:t>
      </w:r>
      <w:r w:rsidRPr="00F954B3">
        <w:rPr>
          <w:rFonts w:ascii="Arial" w:eastAsia="楷体_GB2312" w:hAnsi="Arial" w:cs="Arial"/>
        </w:rPr>
        <w:t>+</w:t>
      </w:r>
      <w:r w:rsidRPr="00F954B3">
        <w:rPr>
          <w:rFonts w:ascii="Arial" w:eastAsia="楷体_GB2312" w:hAnsi="Arial" w:cs="楷体_GB2312" w:hint="eastAsia"/>
        </w:rPr>
        <w:t>短期激励</w:t>
      </w:r>
      <w:r w:rsidRPr="00F954B3">
        <w:rPr>
          <w:rFonts w:ascii="Arial" w:eastAsia="楷体_GB2312" w:hAnsi="Arial" w:cs="Arial"/>
        </w:rPr>
        <w:t>+</w:t>
      </w:r>
      <w:r w:rsidRPr="00F954B3">
        <w:rPr>
          <w:rFonts w:ascii="Arial" w:eastAsia="楷体_GB2312" w:hAnsi="Arial" w:cs="楷体_GB2312" w:hint="eastAsia"/>
        </w:rPr>
        <w:t>长期激励</w:t>
      </w:r>
      <w:r w:rsidRPr="00F954B3">
        <w:rPr>
          <w:rFonts w:ascii="Arial" w:eastAsia="楷体_GB2312" w:hAnsi="Arial" w:cs="Arial"/>
        </w:rPr>
        <w:t>”</w:t>
      </w:r>
      <w:r w:rsidRPr="00F954B3">
        <w:rPr>
          <w:rFonts w:ascii="Arial" w:eastAsia="楷体_GB2312" w:hAnsi="Arial" w:cs="楷体_GB2312" w:hint="eastAsia"/>
        </w:rPr>
        <w:t>的组成结构，这就提高了与公司业绩的关联度。美国、加拿大</w:t>
      </w:r>
      <w:r w:rsidRPr="00F954B3">
        <w:rPr>
          <w:rFonts w:ascii="Arial" w:eastAsia="楷体_GB2312" w:hAnsi="Arial" w:cs="Arial"/>
        </w:rPr>
        <w:t>95%</w:t>
      </w:r>
      <w:r w:rsidRPr="00F954B3">
        <w:rPr>
          <w:rFonts w:ascii="Arial" w:eastAsia="楷体_GB2312" w:hAnsi="Arial" w:cs="楷体_GB2312" w:hint="eastAsia"/>
        </w:rPr>
        <w:t>以上的上市公司都实行了股权激励计划，欧洲多数发达国家推行股权激励计划的上市公司比例超过</w:t>
      </w:r>
      <w:r w:rsidRPr="00F954B3">
        <w:rPr>
          <w:rFonts w:ascii="Arial" w:eastAsia="楷体_GB2312" w:hAnsi="Arial" w:cs="Arial"/>
        </w:rPr>
        <w:t>80%</w:t>
      </w:r>
      <w:r w:rsidRPr="00F954B3">
        <w:rPr>
          <w:rFonts w:ascii="Arial" w:eastAsia="楷体_GB2312" w:hAnsi="Arial" w:cs="楷体_GB2312" w:hint="eastAsia"/>
        </w:rPr>
        <w:t>，即使在亚洲的印度上市公司推行股权激励也达到</w:t>
      </w:r>
      <w:r w:rsidRPr="00F954B3">
        <w:rPr>
          <w:rFonts w:ascii="Arial" w:eastAsia="楷体_GB2312" w:hAnsi="Arial" w:cs="Arial"/>
        </w:rPr>
        <w:t>30%</w:t>
      </w:r>
      <w:r w:rsidRPr="00F954B3">
        <w:rPr>
          <w:rFonts w:ascii="Arial" w:eastAsia="楷体_GB2312" w:hAnsi="Arial" w:cs="楷体_GB2312" w:hint="eastAsia"/>
        </w:rPr>
        <w:t>。</w:t>
      </w:r>
      <w:r w:rsidRPr="00CA2643">
        <w:rPr>
          <w:rFonts w:ascii="Arial" w:eastAsia="楷体_GB2312" w:hAnsi="Arial" w:cs="楷体_GB2312" w:hint="eastAsia"/>
        </w:rPr>
        <w:t>在长期激励手段已成为通行惯例的市场环境下，缺少长期激励、不健全的薪酬结构对上市公司的治理和长久发展无疑是不利的。</w:t>
      </w:r>
    </w:p>
    <w:p w:rsidR="00DA0843" w:rsidRPr="00B0113F" w:rsidRDefault="00DA0843" w:rsidP="008D4B5F">
      <w:pPr>
        <w:spacing w:beforeLines="50"/>
        <w:jc w:val="left"/>
        <w:outlineLvl w:val="1"/>
        <w:rPr>
          <w:rFonts w:ascii="Arial" w:eastAsia="楷体_GB2312" w:hAnsi="Arial" w:cs="Times New Roman"/>
          <w:b/>
          <w:bCs/>
          <w:sz w:val="22"/>
          <w:szCs w:val="22"/>
        </w:rPr>
      </w:pPr>
      <w:r w:rsidRPr="00B0113F">
        <w:rPr>
          <w:rFonts w:ascii="Arial" w:eastAsia="楷体_GB2312" w:hAnsi="Arial" w:cs="楷体_GB2312" w:hint="eastAsia"/>
          <w:b/>
          <w:bCs/>
          <w:sz w:val="22"/>
          <w:szCs w:val="22"/>
        </w:rPr>
        <w:t>股权激励是江苏上市公司高管薪酬激励改革的突破口</w:t>
      </w:r>
    </w:p>
    <w:p w:rsidR="00DA0843" w:rsidRDefault="00DA0843" w:rsidP="00370B4F">
      <w:pPr>
        <w:spacing w:before="120"/>
        <w:ind w:firstLineChars="200" w:firstLine="31680"/>
        <w:rPr>
          <w:rFonts w:ascii="Arial" w:eastAsia="楷体_GB2312" w:hAnsi="Arial" w:cs="Times New Roman"/>
        </w:rPr>
      </w:pPr>
      <w:r w:rsidRPr="00CA2643">
        <w:rPr>
          <w:rFonts w:ascii="Arial" w:eastAsia="楷体_GB2312" w:hAnsi="Arial" w:cs="楷体_GB2312" w:hint="eastAsia"/>
        </w:rPr>
        <w:t>薪酬激励是上市公司治理的重要内容，</w:t>
      </w:r>
      <w:r>
        <w:rPr>
          <w:rFonts w:ascii="Arial" w:eastAsia="楷体_GB2312" w:hAnsi="Arial" w:cs="楷体_GB2312" w:hint="eastAsia"/>
        </w:rPr>
        <w:t>要</w:t>
      </w:r>
      <w:r w:rsidRPr="0084598C">
        <w:rPr>
          <w:rFonts w:ascii="Arial" w:eastAsia="楷体_GB2312" w:hAnsi="Arial" w:cs="楷体_GB2312" w:hint="eastAsia"/>
        </w:rPr>
        <w:t>提升</w:t>
      </w:r>
      <w:r>
        <w:rPr>
          <w:rFonts w:ascii="Arial" w:eastAsia="楷体_GB2312" w:hAnsi="Arial" w:cs="楷体_GB2312" w:hint="eastAsia"/>
        </w:rPr>
        <w:t>江苏</w:t>
      </w:r>
      <w:r w:rsidRPr="0084598C">
        <w:rPr>
          <w:rFonts w:ascii="Arial" w:eastAsia="楷体_GB2312" w:hAnsi="Arial" w:cs="楷体_GB2312" w:hint="eastAsia"/>
        </w:rPr>
        <w:t>上市公司的</w:t>
      </w:r>
      <w:r>
        <w:rPr>
          <w:rFonts w:ascii="Arial" w:eastAsia="楷体_GB2312" w:hAnsi="Arial" w:cs="楷体_GB2312" w:hint="eastAsia"/>
        </w:rPr>
        <w:t>治理水平以及</w:t>
      </w:r>
      <w:r w:rsidRPr="0084598C">
        <w:rPr>
          <w:rFonts w:ascii="Arial" w:eastAsia="楷体_GB2312" w:hAnsi="Arial" w:cs="楷体_GB2312" w:hint="eastAsia"/>
        </w:rPr>
        <w:t>高管队伍</w:t>
      </w:r>
      <w:r>
        <w:rPr>
          <w:rFonts w:ascii="Arial" w:eastAsia="楷体_GB2312" w:hAnsi="Arial" w:cs="楷体_GB2312" w:hint="eastAsia"/>
        </w:rPr>
        <w:t>的</w:t>
      </w:r>
      <w:r w:rsidRPr="0084598C">
        <w:rPr>
          <w:rFonts w:ascii="Arial" w:eastAsia="楷体_GB2312" w:hAnsi="Arial" w:cs="楷体_GB2312" w:hint="eastAsia"/>
        </w:rPr>
        <w:t>素质和能力，保持</w:t>
      </w:r>
      <w:r>
        <w:rPr>
          <w:rFonts w:ascii="Arial" w:eastAsia="楷体_GB2312" w:hAnsi="Arial" w:cs="楷体_GB2312" w:hint="eastAsia"/>
        </w:rPr>
        <w:t>上市公司和</w:t>
      </w:r>
      <w:r w:rsidRPr="0084598C">
        <w:rPr>
          <w:rFonts w:ascii="Arial" w:eastAsia="楷体_GB2312" w:hAnsi="Arial" w:cs="楷体_GB2312" w:hint="eastAsia"/>
        </w:rPr>
        <w:t>高管队伍在全国乃至全球的竞争力，</w:t>
      </w:r>
      <w:r>
        <w:rPr>
          <w:rFonts w:ascii="Arial" w:eastAsia="楷体_GB2312" w:hAnsi="Arial" w:cs="楷体_GB2312" w:hint="eastAsia"/>
        </w:rPr>
        <w:t>江苏</w:t>
      </w:r>
      <w:r w:rsidRPr="0084598C">
        <w:rPr>
          <w:rFonts w:ascii="Arial" w:eastAsia="楷体_GB2312" w:hAnsi="Arial" w:cs="楷体_GB2312" w:hint="eastAsia"/>
        </w:rPr>
        <w:t>上市公司</w:t>
      </w:r>
      <w:r>
        <w:rPr>
          <w:rFonts w:ascii="Arial" w:eastAsia="楷体_GB2312" w:hAnsi="Arial" w:cs="楷体_GB2312" w:hint="eastAsia"/>
        </w:rPr>
        <w:t>的</w:t>
      </w:r>
      <w:r w:rsidRPr="0084598C">
        <w:rPr>
          <w:rFonts w:ascii="Arial" w:eastAsia="楷体_GB2312" w:hAnsi="Arial" w:cs="楷体_GB2312" w:hint="eastAsia"/>
        </w:rPr>
        <w:t>高管薪酬</w:t>
      </w:r>
      <w:r>
        <w:rPr>
          <w:rFonts w:ascii="Arial" w:eastAsia="楷体_GB2312" w:hAnsi="Arial" w:cs="楷体_GB2312" w:hint="eastAsia"/>
        </w:rPr>
        <w:t>就需要有所</w:t>
      </w:r>
      <w:r w:rsidRPr="0084598C">
        <w:rPr>
          <w:rFonts w:ascii="Arial" w:eastAsia="楷体_GB2312" w:hAnsi="Arial" w:cs="楷体_GB2312" w:hint="eastAsia"/>
        </w:rPr>
        <w:t>平稳增加。这样的改革既要与业绩挂钩，又要与市场挂钩，目前，整体社会环境对上市公司高管的薪酬诟病较多，主要集中于是否与</w:t>
      </w:r>
      <w:r>
        <w:rPr>
          <w:rFonts w:ascii="Arial" w:eastAsia="楷体_GB2312" w:hAnsi="Arial" w:cs="楷体_GB2312" w:hint="eastAsia"/>
        </w:rPr>
        <w:t>价值</w:t>
      </w:r>
      <w:r w:rsidRPr="0084598C">
        <w:rPr>
          <w:rFonts w:ascii="Arial" w:eastAsia="楷体_GB2312" w:hAnsi="Arial" w:cs="楷体_GB2312" w:hint="eastAsia"/>
        </w:rPr>
        <w:t>相称，是否与职工收入平衡。因此单纯从工资和奖金方面进行直接提升难度较大。</w:t>
      </w:r>
    </w:p>
    <w:p w:rsidR="00DA0843" w:rsidRPr="0084598C" w:rsidRDefault="00DA0843" w:rsidP="00370B4F">
      <w:pPr>
        <w:spacing w:before="120"/>
        <w:ind w:firstLineChars="200" w:firstLine="31680"/>
        <w:rPr>
          <w:rFonts w:ascii="Arial" w:eastAsia="楷体_GB2312" w:hAnsi="Arial" w:cs="Times New Roman"/>
        </w:rPr>
      </w:pPr>
      <w:r>
        <w:rPr>
          <w:rFonts w:ascii="Arial" w:eastAsia="楷体_GB2312" w:hAnsi="Arial" w:cs="楷体_GB2312" w:hint="eastAsia"/>
        </w:rPr>
        <w:t>而股权激励是一种有效的风险报酬实现机制。通过建立股权激励机制，高管根据公司和个人长期绩效而在未来某一时间获得薪酬。它能够建立起企业长效激励机制，改善薪酬结构体系，有效吸引、保留和激励企业高管；同时引导高管追求公司长期目标的实现，持续为股东创造价值。</w:t>
      </w:r>
      <w:r w:rsidRPr="00B81EC3">
        <w:rPr>
          <w:rFonts w:ascii="Arial" w:eastAsia="楷体_GB2312" w:hAnsi="Arial" w:cs="楷体_GB2312" w:hint="eastAsia"/>
        </w:rPr>
        <w:t>若上市公司能通过合理使用股权激励等长期激励手段健全其高管薪酬结构，就有利于引导上市公司管理层关心公司的长期发展，减少高管人员一味追逐短期利益的投机行为，而是促使高管人员关心公司和股东利益的长期发展。</w:t>
      </w:r>
      <w:r>
        <w:rPr>
          <w:rFonts w:ascii="Arial" w:eastAsia="楷体_GB2312" w:hAnsi="Arial" w:cs="楷体_GB2312" w:hint="eastAsia"/>
        </w:rPr>
        <w:t>综上来看，</w:t>
      </w:r>
      <w:r w:rsidRPr="0084598C">
        <w:rPr>
          <w:rFonts w:ascii="Arial" w:eastAsia="楷体_GB2312" w:hAnsi="Arial" w:cs="楷体_GB2312" w:hint="eastAsia"/>
        </w:rPr>
        <w:t>股权激励与企业的中长期发展挂钩，业绩指标具体明确，并通过股价反映，市场化程度较高</w:t>
      </w:r>
      <w:r>
        <w:rPr>
          <w:rFonts w:ascii="Arial" w:eastAsia="楷体_GB2312" w:hAnsi="Arial" w:cs="楷体_GB2312" w:hint="eastAsia"/>
        </w:rPr>
        <w:t>。</w:t>
      </w:r>
      <w:r w:rsidRPr="0084598C">
        <w:rPr>
          <w:rFonts w:ascii="Arial" w:eastAsia="楷体_GB2312" w:hAnsi="Arial" w:cs="楷体_GB2312" w:hint="eastAsia"/>
        </w:rPr>
        <w:t>因此</w:t>
      </w:r>
      <w:r>
        <w:rPr>
          <w:rFonts w:ascii="Arial" w:eastAsia="楷体_GB2312" w:hAnsi="Arial" w:cs="楷体_GB2312" w:hint="eastAsia"/>
        </w:rPr>
        <w:t>，</w:t>
      </w:r>
      <w:r w:rsidRPr="0084598C">
        <w:rPr>
          <w:rFonts w:ascii="Arial" w:eastAsia="楷体_GB2312" w:hAnsi="Arial" w:cs="楷体_GB2312" w:hint="eastAsia"/>
        </w:rPr>
        <w:t>股权激励</w:t>
      </w:r>
      <w:r>
        <w:rPr>
          <w:rFonts w:ascii="Arial" w:eastAsia="楷体_GB2312" w:hAnsi="Arial" w:cs="楷体_GB2312" w:hint="eastAsia"/>
        </w:rPr>
        <w:t>将会成为江苏上市公司</w:t>
      </w:r>
      <w:r w:rsidRPr="0084598C">
        <w:rPr>
          <w:rFonts w:ascii="Arial" w:eastAsia="楷体_GB2312" w:hAnsi="Arial" w:cs="楷体_GB2312" w:hint="eastAsia"/>
        </w:rPr>
        <w:t>薪酬改革的</w:t>
      </w:r>
      <w:r>
        <w:rPr>
          <w:rFonts w:ascii="Arial" w:eastAsia="楷体_GB2312" w:hAnsi="Arial" w:cs="楷体_GB2312" w:hint="eastAsia"/>
        </w:rPr>
        <w:t>重要</w:t>
      </w:r>
      <w:r w:rsidRPr="0084598C">
        <w:rPr>
          <w:rFonts w:ascii="Arial" w:eastAsia="楷体_GB2312" w:hAnsi="Arial" w:cs="楷体_GB2312" w:hint="eastAsia"/>
        </w:rPr>
        <w:t>突破口。</w:t>
      </w:r>
    </w:p>
    <w:p w:rsidR="00DA0843" w:rsidRPr="002E7113" w:rsidRDefault="00DA0843" w:rsidP="002E7113">
      <w:pPr>
        <w:spacing w:before="120"/>
        <w:rPr>
          <w:rFonts w:ascii="Arial" w:eastAsia="楷体_GB2312" w:hAnsi="Arial" w:cs="Times New Roman"/>
        </w:rPr>
      </w:pPr>
    </w:p>
    <w:sectPr w:rsidR="00DA0843" w:rsidRPr="002E7113" w:rsidSect="00F12C3D">
      <w:footnotePr>
        <w:numRestart w:val="eachPage"/>
      </w:footnotePr>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0843" w:rsidRDefault="00DA0843" w:rsidP="00BD4959">
      <w:pPr>
        <w:rPr>
          <w:rFonts w:cs="Times New Roman"/>
        </w:rPr>
      </w:pPr>
      <w:r>
        <w:rPr>
          <w:rFonts w:cs="Times New Roman"/>
        </w:rPr>
        <w:separator/>
      </w:r>
    </w:p>
  </w:endnote>
  <w:endnote w:type="continuationSeparator" w:id="0">
    <w:p w:rsidR="00DA0843" w:rsidRDefault="00DA0843" w:rsidP="00BD4959">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楷体_GB2312">
    <w:altName w:val="微软雅黑"/>
    <w:panose1 w:val="00000000000000000000"/>
    <w:charset w:val="86"/>
    <w:family w:val="modern"/>
    <w:notTrueType/>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0843" w:rsidRDefault="00DA0843" w:rsidP="00BD4959">
      <w:pPr>
        <w:rPr>
          <w:rFonts w:cs="Times New Roman"/>
        </w:rPr>
      </w:pPr>
      <w:r>
        <w:rPr>
          <w:rFonts w:cs="Times New Roman"/>
        </w:rPr>
        <w:separator/>
      </w:r>
    </w:p>
  </w:footnote>
  <w:footnote w:type="continuationSeparator" w:id="0">
    <w:p w:rsidR="00DA0843" w:rsidRDefault="00DA0843" w:rsidP="00BD4959">
      <w:pPr>
        <w:rPr>
          <w:rFonts w:cs="Times New Roman"/>
        </w:rPr>
      </w:pPr>
      <w:r>
        <w:rPr>
          <w:rFonts w:cs="Times New Roman"/>
        </w:rPr>
        <w:continuationSeparator/>
      </w:r>
    </w:p>
  </w:footnote>
  <w:footnote w:id="1">
    <w:p w:rsidR="00DA0843" w:rsidRDefault="00DA0843" w:rsidP="008F3C6B">
      <w:pPr>
        <w:pStyle w:val="FootnoteText"/>
        <w:rPr>
          <w:rFonts w:cs="Times New Roman"/>
        </w:rPr>
      </w:pPr>
      <w:r w:rsidRPr="00D83B55">
        <w:rPr>
          <w:rStyle w:val="FootnoteReference"/>
          <w:rFonts w:ascii="Arial" w:eastAsia="楷体_GB2312" w:hAnsi="Arial" w:cs="Times New Roman"/>
        </w:rPr>
        <w:footnoteRef/>
      </w:r>
      <w:r w:rsidRPr="00D83B55">
        <w:rPr>
          <w:rFonts w:ascii="Arial" w:eastAsia="楷体_GB2312" w:hAnsi="Arial" w:cs="楷体_GB2312" w:hint="eastAsia"/>
        </w:rPr>
        <w:t>本报告中高管薪酬是以年报披露的江苏省各公司</w:t>
      </w:r>
      <w:r w:rsidRPr="00D83B55">
        <w:rPr>
          <w:rFonts w:ascii="Arial" w:eastAsia="楷体_GB2312" w:hAnsi="Arial" w:cs="Arial"/>
        </w:rPr>
        <w:t>CEO</w:t>
      </w:r>
      <w:r w:rsidRPr="00D83B55">
        <w:rPr>
          <w:rFonts w:ascii="Arial" w:eastAsia="楷体_GB2312" w:hAnsi="Arial" w:cs="楷体_GB2312" w:hint="eastAsia"/>
        </w:rPr>
        <w:t>、总经理、行长职位年薪代表高管薪酬</w:t>
      </w:r>
    </w:p>
  </w:footnote>
  <w:footnote w:id="2">
    <w:p w:rsidR="00DA0843" w:rsidRDefault="00DA0843" w:rsidP="00844342">
      <w:pPr>
        <w:pStyle w:val="FootnoteText"/>
        <w:rPr>
          <w:rFonts w:cs="Times New Roman"/>
        </w:rPr>
      </w:pPr>
      <w:r w:rsidRPr="009D775C">
        <w:rPr>
          <w:rStyle w:val="FootnoteReference"/>
          <w:rFonts w:ascii="楷体_GB2312" w:eastAsia="楷体_GB2312" w:cs="Times New Roman"/>
        </w:rPr>
        <w:footnoteRef/>
      </w:r>
      <w:r w:rsidRPr="009D775C">
        <w:rPr>
          <w:rFonts w:ascii="楷体_GB2312" w:eastAsia="楷体_GB2312" w:cs="楷体_GB2312"/>
        </w:rPr>
        <w:t xml:space="preserve"> </w:t>
      </w:r>
      <w:r w:rsidRPr="009D775C">
        <w:rPr>
          <w:rFonts w:ascii="楷体_GB2312" w:eastAsia="楷体_GB2312" w:cs="楷体_GB2312" w:hint="eastAsia"/>
        </w:rPr>
        <w:t>国有</w:t>
      </w:r>
      <w:r>
        <w:rPr>
          <w:rFonts w:ascii="楷体_GB2312" w:eastAsia="楷体_GB2312" w:cs="楷体_GB2312" w:hint="eastAsia"/>
        </w:rPr>
        <w:t>、非国有企业定义按大股东的经济性质确定。</w:t>
      </w:r>
    </w:p>
  </w:footnote>
  <w:footnote w:id="3">
    <w:p w:rsidR="00DA0843" w:rsidRDefault="00DA0843" w:rsidP="00844342">
      <w:pPr>
        <w:pStyle w:val="FootnoteText"/>
        <w:rPr>
          <w:rFonts w:cs="Times New Roman"/>
        </w:rPr>
      </w:pPr>
      <w:r w:rsidRPr="00CE17A5">
        <w:rPr>
          <w:rStyle w:val="FootnoteReference"/>
          <w:rFonts w:ascii="Arial" w:eastAsia="楷体_GB2312" w:hAnsi="Arial" w:cs="Times New Roman"/>
        </w:rPr>
        <w:footnoteRef/>
      </w:r>
      <w:r w:rsidRPr="00CE17A5">
        <w:rPr>
          <w:rFonts w:ascii="Arial" w:eastAsia="楷体_GB2312" w:hAnsi="Arial" w:cs="楷体_GB2312" w:hint="eastAsia"/>
        </w:rPr>
        <w:t>平均值</w:t>
      </w:r>
      <w:r>
        <w:rPr>
          <w:rFonts w:ascii="Arial" w:eastAsia="楷体_GB2312" w:hAnsi="Arial" w:cs="Arial"/>
        </w:rPr>
        <w:t>/</w:t>
      </w:r>
      <w:r>
        <w:rPr>
          <w:rFonts w:ascii="Arial" w:eastAsia="楷体_GB2312" w:hAnsi="Arial" w:cs="楷体_GB2312" w:hint="eastAsia"/>
        </w:rPr>
        <w:t>均值</w:t>
      </w:r>
      <w:r w:rsidRPr="00CE17A5">
        <w:rPr>
          <w:rFonts w:ascii="Arial" w:eastAsia="楷体_GB2312" w:hAnsi="Arial" w:cs="楷体_GB2312" w:hint="eastAsia"/>
        </w:rPr>
        <w:t>，指所有被调查数据的平均值，反映市场的平均水平。</w:t>
      </w:r>
    </w:p>
  </w:footnote>
  <w:footnote w:id="4">
    <w:p w:rsidR="00DA0843" w:rsidRDefault="00DA0843" w:rsidP="00EF298D">
      <w:pPr>
        <w:pStyle w:val="FootnoteText"/>
        <w:rPr>
          <w:rFonts w:cs="Times New Roman"/>
        </w:rPr>
      </w:pPr>
      <w:r w:rsidRPr="00091614">
        <w:rPr>
          <w:rStyle w:val="FootnoteReference"/>
          <w:rFonts w:ascii="楷体_GB2312" w:eastAsia="楷体_GB2312" w:cs="Times New Roman"/>
        </w:rPr>
        <w:footnoteRef/>
      </w:r>
      <w:r w:rsidRPr="00091614">
        <w:rPr>
          <w:rFonts w:ascii="楷体_GB2312" w:eastAsia="楷体_GB2312" w:cs="楷体_GB2312" w:hint="eastAsia"/>
        </w:rPr>
        <w:t>苏北七市包括苏北地区已存在上市公司的扬州、泰州、南通、盐城、宿迁、连云港和徐州七个城市</w:t>
      </w:r>
      <w:r>
        <w:rPr>
          <w:rFonts w:ascii="楷体_GB2312" w:eastAsia="楷体_GB2312" w:cs="楷体_GB2312" w:hint="eastAsia"/>
        </w:rPr>
        <w:t>。</w:t>
      </w:r>
    </w:p>
  </w:footnote>
  <w:footnote w:id="5">
    <w:p w:rsidR="00DA0843" w:rsidRDefault="00DA0843" w:rsidP="00EF298D">
      <w:pPr>
        <w:pStyle w:val="FootnoteText"/>
        <w:rPr>
          <w:rFonts w:cs="Times New Roman"/>
        </w:rPr>
      </w:pPr>
      <w:r w:rsidRPr="00091614">
        <w:rPr>
          <w:rStyle w:val="FootnoteReference"/>
          <w:rFonts w:ascii="楷体_GB2312" w:eastAsia="楷体_GB2312" w:cs="Times New Roman"/>
        </w:rPr>
        <w:footnoteRef/>
      </w:r>
      <w:r w:rsidRPr="00091614">
        <w:rPr>
          <w:rFonts w:ascii="楷体_GB2312" w:eastAsia="楷体_GB2312" w:cs="楷体_GB2312" w:hint="eastAsia"/>
        </w:rPr>
        <w:t>苏南五市包括南京、镇江、常州、无锡和苏州五个苏南城市</w:t>
      </w:r>
      <w:r>
        <w:rPr>
          <w:rFonts w:ascii="楷体_GB2312" w:eastAsia="楷体_GB2312" w:cs="楷体_GB2312" w:hint="eastAsia"/>
        </w:rPr>
        <w:t>。</w:t>
      </w:r>
    </w:p>
  </w:footnote>
  <w:footnote w:id="6">
    <w:p w:rsidR="00DA0843" w:rsidRDefault="00DA0843" w:rsidP="002D0A8F">
      <w:pPr>
        <w:pStyle w:val="FootnoteText"/>
        <w:rPr>
          <w:rFonts w:cs="Times New Roman"/>
        </w:rPr>
      </w:pPr>
      <w:r w:rsidRPr="00DC267F">
        <w:rPr>
          <w:rStyle w:val="FootnoteReference"/>
          <w:rFonts w:ascii="Arial" w:eastAsia="楷体_GB2312" w:hAnsi="Arial" w:cs="Times New Roman"/>
        </w:rPr>
        <w:footnoteRef/>
      </w:r>
      <w:r w:rsidRPr="00DC267F">
        <w:rPr>
          <w:rFonts w:ascii="Arial" w:eastAsia="楷体_GB2312" w:hAnsi="Arial" w:cs="楷体_GB2312" w:hint="eastAsia"/>
        </w:rPr>
        <w:t>江苏地区股权激励数据截止到</w:t>
      </w:r>
      <w:r>
        <w:rPr>
          <w:rFonts w:ascii="Arial" w:eastAsia="楷体_GB2312" w:hAnsi="Arial" w:cs="Arial"/>
        </w:rPr>
        <w:t>2013</w:t>
      </w:r>
      <w:r w:rsidRPr="00DC267F">
        <w:rPr>
          <w:rFonts w:ascii="Arial" w:eastAsia="楷体_GB2312" w:hAnsi="Arial" w:cs="楷体_GB2312" w:hint="eastAsia"/>
        </w:rPr>
        <w:t>年</w:t>
      </w:r>
      <w:r w:rsidRPr="00DC267F">
        <w:rPr>
          <w:rFonts w:ascii="Arial" w:eastAsia="楷体_GB2312" w:hAnsi="Arial" w:cs="Arial"/>
        </w:rPr>
        <w:t>5</w:t>
      </w:r>
      <w:r w:rsidRPr="00DC267F">
        <w:rPr>
          <w:rFonts w:ascii="Arial" w:eastAsia="楷体_GB2312" w:hAnsi="Arial" w:cs="楷体_GB2312" w:hint="eastAsia"/>
        </w:rPr>
        <w:t>月。</w:t>
      </w:r>
    </w:p>
  </w:footnote>
  <w:footnote w:id="7">
    <w:p w:rsidR="00DA0843" w:rsidRDefault="00DA0843" w:rsidP="002D0A8F">
      <w:pPr>
        <w:pStyle w:val="FootnoteText"/>
        <w:rPr>
          <w:rFonts w:cs="Times New Roman"/>
        </w:rPr>
      </w:pPr>
      <w:r w:rsidRPr="002B773E">
        <w:rPr>
          <w:rStyle w:val="FootnoteReference"/>
          <w:rFonts w:ascii="Arial" w:eastAsia="楷体_GB2312" w:hAnsi="Arial" w:cs="Times New Roman"/>
        </w:rPr>
        <w:footnoteRef/>
      </w:r>
      <w:r w:rsidRPr="002B773E">
        <w:rPr>
          <w:rFonts w:ascii="Arial" w:eastAsia="楷体_GB2312" w:hAnsi="Arial" w:cs="楷体_GB2312" w:hint="eastAsia"/>
        </w:rPr>
        <w:t>计算中国上市公司高管薪酬水平激励程度值公式中涉及</w:t>
      </w:r>
      <w:r>
        <w:rPr>
          <w:rFonts w:ascii="Arial" w:eastAsia="楷体_GB2312" w:hAnsi="Arial" w:cs="Arial"/>
        </w:rPr>
        <w:t>2010</w:t>
      </w:r>
      <w:r w:rsidRPr="002B773E">
        <w:rPr>
          <w:rFonts w:ascii="Arial" w:eastAsia="楷体_GB2312" w:hAnsi="Arial" w:cs="楷体_GB2312" w:hint="eastAsia"/>
        </w:rPr>
        <w:t>年上市公司相关数据，因此，</w:t>
      </w:r>
      <w:r>
        <w:rPr>
          <w:rFonts w:ascii="Arial" w:eastAsia="楷体_GB2312" w:hAnsi="Arial" w:cs="Arial"/>
        </w:rPr>
        <w:t>2010</w:t>
      </w:r>
      <w:r w:rsidRPr="002B773E">
        <w:rPr>
          <w:rFonts w:ascii="Arial" w:eastAsia="楷体_GB2312" w:hAnsi="Arial" w:cs="楷体_GB2312" w:hint="eastAsia"/>
        </w:rPr>
        <w:t>、</w:t>
      </w:r>
      <w:r>
        <w:rPr>
          <w:rFonts w:ascii="Arial" w:eastAsia="楷体_GB2312" w:hAnsi="Arial" w:cs="Arial"/>
        </w:rPr>
        <w:t>2011</w:t>
      </w:r>
      <w:r w:rsidRPr="002B773E">
        <w:rPr>
          <w:rFonts w:ascii="Arial" w:eastAsia="楷体_GB2312" w:hAnsi="Arial" w:cs="楷体_GB2312" w:hint="eastAsia"/>
        </w:rPr>
        <w:t>年新上市公司以及</w:t>
      </w:r>
      <w:r>
        <w:rPr>
          <w:rFonts w:ascii="Arial" w:eastAsia="楷体_GB2312" w:hAnsi="Arial" w:cs="Arial"/>
        </w:rPr>
        <w:t>2010</w:t>
      </w:r>
      <w:r w:rsidRPr="002B773E">
        <w:rPr>
          <w:rFonts w:ascii="Arial" w:eastAsia="楷体_GB2312" w:hAnsi="Arial" w:cs="楷体_GB2312" w:hint="eastAsia"/>
        </w:rPr>
        <w:t>年相关数据缺失的公司难以求得高管薪酬激励程度值。</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F5CEF"/>
    <w:multiLevelType w:val="hybridMultilevel"/>
    <w:tmpl w:val="E394645C"/>
    <w:lvl w:ilvl="0" w:tplc="F8602F06">
      <w:start w:val="1"/>
      <w:numFmt w:val="decimal"/>
      <w:lvlText w:val="表%1："/>
      <w:lvlJc w:val="left"/>
      <w:pPr>
        <w:ind w:left="1413" w:hanging="420"/>
      </w:pPr>
      <w:rPr>
        <w:rFonts w:ascii="Arial" w:eastAsia="楷体_GB2312" w:hAnsi="Arial" w:hint="default"/>
        <w:b/>
        <w:bCs/>
        <w:i w:val="0"/>
        <w:iCs w:val="0"/>
        <w:sz w:val="21"/>
        <w:szCs w:val="21"/>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0A050F4D"/>
    <w:multiLevelType w:val="hybridMultilevel"/>
    <w:tmpl w:val="B3FE992A"/>
    <w:lvl w:ilvl="0" w:tplc="F8602F06">
      <w:start w:val="1"/>
      <w:numFmt w:val="decimal"/>
      <w:lvlText w:val="表%1："/>
      <w:lvlJc w:val="left"/>
      <w:pPr>
        <w:ind w:left="840" w:hanging="420"/>
      </w:pPr>
      <w:rPr>
        <w:rFonts w:ascii="Arial" w:eastAsia="楷体_GB2312" w:hAnsi="Arial" w:hint="default"/>
        <w:b/>
        <w:bCs/>
        <w:i w:val="0"/>
        <w:iCs w:val="0"/>
        <w:sz w:val="21"/>
        <w:szCs w:val="21"/>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nsid w:val="0F4449C5"/>
    <w:multiLevelType w:val="hybridMultilevel"/>
    <w:tmpl w:val="9428653A"/>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3">
    <w:nsid w:val="19754664"/>
    <w:multiLevelType w:val="hybridMultilevel"/>
    <w:tmpl w:val="46FA6C1E"/>
    <w:lvl w:ilvl="0" w:tplc="F8602F06">
      <w:start w:val="1"/>
      <w:numFmt w:val="decimal"/>
      <w:lvlText w:val="表%1："/>
      <w:lvlJc w:val="left"/>
      <w:pPr>
        <w:ind w:left="420" w:hanging="420"/>
      </w:pPr>
      <w:rPr>
        <w:rFonts w:ascii="Arial" w:eastAsia="楷体_GB2312" w:hAnsi="Arial" w:hint="default"/>
        <w:b/>
        <w:bCs/>
        <w:i w:val="0"/>
        <w:iCs w:val="0"/>
        <w:sz w:val="21"/>
        <w:szCs w:val="21"/>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nsid w:val="2BB86522"/>
    <w:multiLevelType w:val="hybridMultilevel"/>
    <w:tmpl w:val="3F40D86C"/>
    <w:lvl w:ilvl="0" w:tplc="59F0CCC6">
      <w:start w:val="1"/>
      <w:numFmt w:val="decimal"/>
      <w:lvlText w:val="表%1："/>
      <w:lvlJc w:val="left"/>
      <w:pPr>
        <w:ind w:left="2406" w:hanging="420"/>
      </w:pPr>
      <w:rPr>
        <w:rFonts w:ascii="Arial" w:eastAsia="楷体_GB2312" w:hAnsi="Arial" w:hint="default"/>
        <w:b/>
        <w:bCs/>
        <w:i w:val="0"/>
        <w:iCs w:val="0"/>
        <w:sz w:val="21"/>
        <w:szCs w:val="21"/>
      </w:rPr>
    </w:lvl>
    <w:lvl w:ilvl="1" w:tplc="04090019">
      <w:start w:val="1"/>
      <w:numFmt w:val="lowerLetter"/>
      <w:lvlText w:val="%2)"/>
      <w:lvlJc w:val="left"/>
      <w:pPr>
        <w:ind w:left="1833" w:hanging="420"/>
      </w:pPr>
    </w:lvl>
    <w:lvl w:ilvl="2" w:tplc="0409001B">
      <w:start w:val="1"/>
      <w:numFmt w:val="lowerRoman"/>
      <w:lvlText w:val="%3."/>
      <w:lvlJc w:val="right"/>
      <w:pPr>
        <w:ind w:left="2253" w:hanging="420"/>
      </w:pPr>
    </w:lvl>
    <w:lvl w:ilvl="3" w:tplc="0409000F">
      <w:start w:val="1"/>
      <w:numFmt w:val="decimal"/>
      <w:lvlText w:val="%4."/>
      <w:lvlJc w:val="left"/>
      <w:pPr>
        <w:ind w:left="2673" w:hanging="420"/>
      </w:pPr>
    </w:lvl>
    <w:lvl w:ilvl="4" w:tplc="04090019">
      <w:start w:val="1"/>
      <w:numFmt w:val="lowerLetter"/>
      <w:lvlText w:val="%5)"/>
      <w:lvlJc w:val="left"/>
      <w:pPr>
        <w:ind w:left="3093" w:hanging="420"/>
      </w:pPr>
    </w:lvl>
    <w:lvl w:ilvl="5" w:tplc="0409001B">
      <w:start w:val="1"/>
      <w:numFmt w:val="lowerRoman"/>
      <w:lvlText w:val="%6."/>
      <w:lvlJc w:val="right"/>
      <w:pPr>
        <w:ind w:left="3513" w:hanging="420"/>
      </w:pPr>
    </w:lvl>
    <w:lvl w:ilvl="6" w:tplc="0409000F">
      <w:start w:val="1"/>
      <w:numFmt w:val="decimal"/>
      <w:lvlText w:val="%7."/>
      <w:lvlJc w:val="left"/>
      <w:pPr>
        <w:ind w:left="3933" w:hanging="420"/>
      </w:pPr>
    </w:lvl>
    <w:lvl w:ilvl="7" w:tplc="04090019">
      <w:start w:val="1"/>
      <w:numFmt w:val="lowerLetter"/>
      <w:lvlText w:val="%8)"/>
      <w:lvlJc w:val="left"/>
      <w:pPr>
        <w:ind w:left="4353" w:hanging="420"/>
      </w:pPr>
    </w:lvl>
    <w:lvl w:ilvl="8" w:tplc="0409001B">
      <w:start w:val="1"/>
      <w:numFmt w:val="lowerRoman"/>
      <w:lvlText w:val="%9."/>
      <w:lvlJc w:val="right"/>
      <w:pPr>
        <w:ind w:left="4773" w:hanging="420"/>
      </w:pPr>
    </w:lvl>
  </w:abstractNum>
  <w:abstractNum w:abstractNumId="5">
    <w:nsid w:val="3342272D"/>
    <w:multiLevelType w:val="hybridMultilevel"/>
    <w:tmpl w:val="FB024904"/>
    <w:lvl w:ilvl="0" w:tplc="2C16D700">
      <w:start w:val="1"/>
      <w:numFmt w:val="bullet"/>
      <w:lvlText w:val=""/>
      <w:lvlJc w:val="left"/>
      <w:pPr>
        <w:ind w:left="420" w:hanging="420"/>
      </w:pPr>
      <w:rPr>
        <w:rFonts w:ascii="Wingdings" w:hAnsi="Wingdings" w:cs="Wingdings" w:hint="default"/>
      </w:rPr>
    </w:lvl>
    <w:lvl w:ilvl="1" w:tplc="04090003">
      <w:start w:val="1"/>
      <w:numFmt w:val="bullet"/>
      <w:lvlText w:val=""/>
      <w:lvlJc w:val="left"/>
      <w:pPr>
        <w:ind w:left="840" w:hanging="420"/>
      </w:pPr>
      <w:rPr>
        <w:rFonts w:ascii="Wingdings" w:hAnsi="Wingdings" w:cs="Wingdings" w:hint="default"/>
      </w:rPr>
    </w:lvl>
    <w:lvl w:ilvl="2" w:tplc="88D26AE0">
      <w:numFmt w:val="bullet"/>
      <w:lvlText w:val="•"/>
      <w:lvlJc w:val="left"/>
      <w:pPr>
        <w:tabs>
          <w:tab w:val="num" w:pos="840"/>
        </w:tabs>
        <w:ind w:left="1124" w:hanging="284"/>
      </w:pPr>
      <w:rPr>
        <w:rFonts w:ascii="Arial" w:eastAsia="宋体" w:hAnsi="Arial" w:hint="default"/>
        <w:sz w:val="24"/>
        <w:szCs w:val="24"/>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6">
    <w:nsid w:val="3B5E4947"/>
    <w:multiLevelType w:val="hybridMultilevel"/>
    <w:tmpl w:val="E970317E"/>
    <w:lvl w:ilvl="0" w:tplc="8C5ACC32">
      <w:numFmt w:val="bullet"/>
      <w:lvlText w:val="•"/>
      <w:lvlJc w:val="left"/>
      <w:pPr>
        <w:ind w:left="840" w:hanging="420"/>
      </w:pPr>
      <w:rPr>
        <w:rFonts w:ascii="Arial" w:eastAsia="宋体" w:hAnsi="Arial" w:hint="default"/>
        <w:sz w:val="24"/>
        <w:szCs w:val="24"/>
      </w:rPr>
    </w:lvl>
    <w:lvl w:ilvl="1" w:tplc="04090003">
      <w:start w:val="1"/>
      <w:numFmt w:val="bullet"/>
      <w:lvlText w:val=""/>
      <w:lvlJc w:val="left"/>
      <w:pPr>
        <w:ind w:left="1260" w:hanging="420"/>
      </w:pPr>
      <w:rPr>
        <w:rFonts w:ascii="Wingdings" w:hAnsi="Wingdings" w:cs="Wingdings" w:hint="default"/>
      </w:rPr>
    </w:lvl>
    <w:lvl w:ilvl="2" w:tplc="04090005">
      <w:start w:val="1"/>
      <w:numFmt w:val="bullet"/>
      <w:lvlText w:val=""/>
      <w:lvlJc w:val="left"/>
      <w:pPr>
        <w:ind w:left="1680" w:hanging="420"/>
      </w:pPr>
      <w:rPr>
        <w:rFonts w:ascii="Wingdings" w:hAnsi="Wingdings" w:cs="Wingdings" w:hint="default"/>
      </w:rPr>
    </w:lvl>
    <w:lvl w:ilvl="3" w:tplc="04090001">
      <w:start w:val="1"/>
      <w:numFmt w:val="bullet"/>
      <w:lvlText w:val=""/>
      <w:lvlJc w:val="left"/>
      <w:pPr>
        <w:ind w:left="2100" w:hanging="420"/>
      </w:pPr>
      <w:rPr>
        <w:rFonts w:ascii="Wingdings" w:hAnsi="Wingdings" w:cs="Wingdings" w:hint="default"/>
      </w:rPr>
    </w:lvl>
    <w:lvl w:ilvl="4" w:tplc="04090003">
      <w:start w:val="1"/>
      <w:numFmt w:val="bullet"/>
      <w:lvlText w:val=""/>
      <w:lvlJc w:val="left"/>
      <w:pPr>
        <w:ind w:left="2520" w:hanging="420"/>
      </w:pPr>
      <w:rPr>
        <w:rFonts w:ascii="Wingdings" w:hAnsi="Wingdings" w:cs="Wingdings" w:hint="default"/>
      </w:rPr>
    </w:lvl>
    <w:lvl w:ilvl="5" w:tplc="04090005">
      <w:start w:val="1"/>
      <w:numFmt w:val="bullet"/>
      <w:lvlText w:val=""/>
      <w:lvlJc w:val="left"/>
      <w:pPr>
        <w:ind w:left="2940" w:hanging="420"/>
      </w:pPr>
      <w:rPr>
        <w:rFonts w:ascii="Wingdings" w:hAnsi="Wingdings" w:cs="Wingdings" w:hint="default"/>
      </w:rPr>
    </w:lvl>
    <w:lvl w:ilvl="6" w:tplc="04090001">
      <w:start w:val="1"/>
      <w:numFmt w:val="bullet"/>
      <w:lvlText w:val=""/>
      <w:lvlJc w:val="left"/>
      <w:pPr>
        <w:ind w:left="3360" w:hanging="420"/>
      </w:pPr>
      <w:rPr>
        <w:rFonts w:ascii="Wingdings" w:hAnsi="Wingdings" w:cs="Wingdings" w:hint="default"/>
      </w:rPr>
    </w:lvl>
    <w:lvl w:ilvl="7" w:tplc="04090003">
      <w:start w:val="1"/>
      <w:numFmt w:val="bullet"/>
      <w:lvlText w:val=""/>
      <w:lvlJc w:val="left"/>
      <w:pPr>
        <w:ind w:left="3780" w:hanging="420"/>
      </w:pPr>
      <w:rPr>
        <w:rFonts w:ascii="Wingdings" w:hAnsi="Wingdings" w:cs="Wingdings" w:hint="default"/>
      </w:rPr>
    </w:lvl>
    <w:lvl w:ilvl="8" w:tplc="04090005">
      <w:start w:val="1"/>
      <w:numFmt w:val="bullet"/>
      <w:lvlText w:val=""/>
      <w:lvlJc w:val="left"/>
      <w:pPr>
        <w:ind w:left="4200" w:hanging="420"/>
      </w:pPr>
      <w:rPr>
        <w:rFonts w:ascii="Wingdings" w:hAnsi="Wingdings" w:cs="Wingdings" w:hint="default"/>
      </w:rPr>
    </w:lvl>
  </w:abstractNum>
  <w:abstractNum w:abstractNumId="7">
    <w:nsid w:val="3B8E7D20"/>
    <w:multiLevelType w:val="hybridMultilevel"/>
    <w:tmpl w:val="46D601BA"/>
    <w:lvl w:ilvl="0" w:tplc="EEDE7A0A">
      <w:start w:val="1"/>
      <w:numFmt w:val="decimal"/>
      <w:lvlText w:val="图%1："/>
      <w:lvlJc w:val="left"/>
      <w:pPr>
        <w:ind w:left="1838" w:hanging="420"/>
      </w:pPr>
      <w:rPr>
        <w:rFonts w:ascii="Arial" w:eastAsia="楷体_GB2312" w:hAnsi="Arial" w:hint="default"/>
        <w:b/>
        <w:bCs/>
        <w:i w:val="0"/>
        <w:iCs w:val="0"/>
        <w:sz w:val="21"/>
        <w:szCs w:val="21"/>
      </w:rPr>
    </w:lvl>
    <w:lvl w:ilvl="1" w:tplc="04090019">
      <w:start w:val="1"/>
      <w:numFmt w:val="lowerLetter"/>
      <w:lvlText w:val="%2)"/>
      <w:lvlJc w:val="left"/>
      <w:pPr>
        <w:ind w:left="2258" w:hanging="420"/>
      </w:pPr>
    </w:lvl>
    <w:lvl w:ilvl="2" w:tplc="0409001B">
      <w:start w:val="1"/>
      <w:numFmt w:val="lowerRoman"/>
      <w:lvlText w:val="%3."/>
      <w:lvlJc w:val="right"/>
      <w:pPr>
        <w:ind w:left="2678" w:hanging="420"/>
      </w:pPr>
    </w:lvl>
    <w:lvl w:ilvl="3" w:tplc="0409000F">
      <w:start w:val="1"/>
      <w:numFmt w:val="decimal"/>
      <w:lvlText w:val="%4."/>
      <w:lvlJc w:val="left"/>
      <w:pPr>
        <w:ind w:left="3098" w:hanging="420"/>
      </w:pPr>
    </w:lvl>
    <w:lvl w:ilvl="4" w:tplc="04090019">
      <w:start w:val="1"/>
      <w:numFmt w:val="lowerLetter"/>
      <w:lvlText w:val="%5)"/>
      <w:lvlJc w:val="left"/>
      <w:pPr>
        <w:ind w:left="3518" w:hanging="420"/>
      </w:pPr>
    </w:lvl>
    <w:lvl w:ilvl="5" w:tplc="0409001B">
      <w:start w:val="1"/>
      <w:numFmt w:val="lowerRoman"/>
      <w:lvlText w:val="%6."/>
      <w:lvlJc w:val="right"/>
      <w:pPr>
        <w:ind w:left="3938" w:hanging="420"/>
      </w:pPr>
    </w:lvl>
    <w:lvl w:ilvl="6" w:tplc="0409000F">
      <w:start w:val="1"/>
      <w:numFmt w:val="decimal"/>
      <w:lvlText w:val="%7."/>
      <w:lvlJc w:val="left"/>
      <w:pPr>
        <w:ind w:left="4358" w:hanging="420"/>
      </w:pPr>
    </w:lvl>
    <w:lvl w:ilvl="7" w:tplc="04090019">
      <w:start w:val="1"/>
      <w:numFmt w:val="lowerLetter"/>
      <w:lvlText w:val="%8)"/>
      <w:lvlJc w:val="left"/>
      <w:pPr>
        <w:ind w:left="4778" w:hanging="420"/>
      </w:pPr>
    </w:lvl>
    <w:lvl w:ilvl="8" w:tplc="0409001B">
      <w:start w:val="1"/>
      <w:numFmt w:val="lowerRoman"/>
      <w:lvlText w:val="%9."/>
      <w:lvlJc w:val="right"/>
      <w:pPr>
        <w:ind w:left="5198" w:hanging="420"/>
      </w:pPr>
    </w:lvl>
  </w:abstractNum>
  <w:abstractNum w:abstractNumId="8">
    <w:nsid w:val="3E2F47EB"/>
    <w:multiLevelType w:val="hybridMultilevel"/>
    <w:tmpl w:val="871A6F20"/>
    <w:lvl w:ilvl="0" w:tplc="F8602F06">
      <w:start w:val="1"/>
      <w:numFmt w:val="decimal"/>
      <w:lvlText w:val="表%1："/>
      <w:lvlJc w:val="left"/>
      <w:pPr>
        <w:ind w:left="420" w:hanging="420"/>
      </w:pPr>
      <w:rPr>
        <w:rFonts w:ascii="Arial" w:eastAsia="楷体_GB2312" w:hAnsi="Arial" w:hint="default"/>
        <w:b/>
        <w:bCs/>
        <w:i w:val="0"/>
        <w:iCs w:val="0"/>
        <w:sz w:val="21"/>
        <w:szCs w:val="21"/>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nsid w:val="3EC3103D"/>
    <w:multiLevelType w:val="hybridMultilevel"/>
    <w:tmpl w:val="2FFAF960"/>
    <w:lvl w:ilvl="0" w:tplc="8C5ACC32">
      <w:numFmt w:val="bullet"/>
      <w:lvlText w:val="•"/>
      <w:lvlJc w:val="left"/>
      <w:pPr>
        <w:tabs>
          <w:tab w:val="num" w:pos="0"/>
        </w:tabs>
        <w:ind w:left="284" w:hanging="284"/>
      </w:pPr>
      <w:rPr>
        <w:rFonts w:ascii="Arial" w:eastAsia="宋体" w:hAnsi="Arial" w:hint="default"/>
        <w:sz w:val="24"/>
        <w:szCs w:val="24"/>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10">
    <w:nsid w:val="467D6A19"/>
    <w:multiLevelType w:val="hybridMultilevel"/>
    <w:tmpl w:val="384C0FDA"/>
    <w:lvl w:ilvl="0" w:tplc="59F0CCC6">
      <w:start w:val="1"/>
      <w:numFmt w:val="decimal"/>
      <w:lvlText w:val="表%1："/>
      <w:lvlJc w:val="left"/>
      <w:pPr>
        <w:ind w:left="1413" w:hanging="420"/>
      </w:pPr>
      <w:rPr>
        <w:rFonts w:ascii="Arial" w:eastAsia="楷体_GB2312" w:hAnsi="Arial" w:hint="default"/>
        <w:b/>
        <w:bCs/>
        <w:i w:val="0"/>
        <w:iCs w:val="0"/>
        <w:sz w:val="21"/>
        <w:szCs w:val="21"/>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nsid w:val="519047C8"/>
    <w:multiLevelType w:val="hybridMultilevel"/>
    <w:tmpl w:val="7040D782"/>
    <w:lvl w:ilvl="0" w:tplc="8C5ACC32">
      <w:numFmt w:val="bullet"/>
      <w:lvlText w:val="•"/>
      <w:lvlJc w:val="left"/>
      <w:pPr>
        <w:ind w:hanging="420"/>
      </w:pPr>
      <w:rPr>
        <w:rFonts w:ascii="Arial" w:eastAsia="宋体" w:hAnsi="Arial" w:hint="default"/>
        <w:sz w:val="24"/>
        <w:szCs w:val="24"/>
      </w:rPr>
    </w:lvl>
    <w:lvl w:ilvl="1" w:tplc="04090003">
      <w:start w:val="1"/>
      <w:numFmt w:val="bullet"/>
      <w:lvlText w:val=""/>
      <w:lvlJc w:val="left"/>
      <w:pPr>
        <w:ind w:left="420" w:hanging="420"/>
      </w:pPr>
      <w:rPr>
        <w:rFonts w:ascii="Wingdings" w:hAnsi="Wingdings" w:cs="Wingdings" w:hint="default"/>
      </w:rPr>
    </w:lvl>
    <w:lvl w:ilvl="2" w:tplc="04090005">
      <w:start w:val="1"/>
      <w:numFmt w:val="bullet"/>
      <w:lvlText w:val=""/>
      <w:lvlJc w:val="left"/>
      <w:pPr>
        <w:ind w:left="840" w:hanging="420"/>
      </w:pPr>
      <w:rPr>
        <w:rFonts w:ascii="Wingdings" w:hAnsi="Wingdings" w:cs="Wingdings" w:hint="default"/>
      </w:rPr>
    </w:lvl>
    <w:lvl w:ilvl="3" w:tplc="04090001">
      <w:start w:val="1"/>
      <w:numFmt w:val="bullet"/>
      <w:lvlText w:val=""/>
      <w:lvlJc w:val="left"/>
      <w:pPr>
        <w:ind w:left="1260" w:hanging="420"/>
      </w:pPr>
      <w:rPr>
        <w:rFonts w:ascii="Wingdings" w:hAnsi="Wingdings" w:cs="Wingdings" w:hint="default"/>
      </w:rPr>
    </w:lvl>
    <w:lvl w:ilvl="4" w:tplc="04090003">
      <w:start w:val="1"/>
      <w:numFmt w:val="bullet"/>
      <w:lvlText w:val=""/>
      <w:lvlJc w:val="left"/>
      <w:pPr>
        <w:ind w:left="1680" w:hanging="420"/>
      </w:pPr>
      <w:rPr>
        <w:rFonts w:ascii="Wingdings" w:hAnsi="Wingdings" w:cs="Wingdings" w:hint="default"/>
      </w:rPr>
    </w:lvl>
    <w:lvl w:ilvl="5" w:tplc="04090005">
      <w:start w:val="1"/>
      <w:numFmt w:val="bullet"/>
      <w:lvlText w:val=""/>
      <w:lvlJc w:val="left"/>
      <w:pPr>
        <w:ind w:left="2100" w:hanging="420"/>
      </w:pPr>
      <w:rPr>
        <w:rFonts w:ascii="Wingdings" w:hAnsi="Wingdings" w:cs="Wingdings" w:hint="default"/>
      </w:rPr>
    </w:lvl>
    <w:lvl w:ilvl="6" w:tplc="04090001">
      <w:start w:val="1"/>
      <w:numFmt w:val="bullet"/>
      <w:lvlText w:val=""/>
      <w:lvlJc w:val="left"/>
      <w:pPr>
        <w:ind w:left="2520" w:hanging="420"/>
      </w:pPr>
      <w:rPr>
        <w:rFonts w:ascii="Wingdings" w:hAnsi="Wingdings" w:cs="Wingdings" w:hint="default"/>
      </w:rPr>
    </w:lvl>
    <w:lvl w:ilvl="7" w:tplc="04090003">
      <w:start w:val="1"/>
      <w:numFmt w:val="bullet"/>
      <w:lvlText w:val=""/>
      <w:lvlJc w:val="left"/>
      <w:pPr>
        <w:ind w:left="2940" w:hanging="420"/>
      </w:pPr>
      <w:rPr>
        <w:rFonts w:ascii="Wingdings" w:hAnsi="Wingdings" w:cs="Wingdings" w:hint="default"/>
      </w:rPr>
    </w:lvl>
    <w:lvl w:ilvl="8" w:tplc="04090005">
      <w:start w:val="1"/>
      <w:numFmt w:val="bullet"/>
      <w:lvlText w:val=""/>
      <w:lvlJc w:val="left"/>
      <w:pPr>
        <w:ind w:left="3360" w:hanging="420"/>
      </w:pPr>
      <w:rPr>
        <w:rFonts w:ascii="Wingdings" w:hAnsi="Wingdings" w:cs="Wingdings" w:hint="default"/>
      </w:rPr>
    </w:lvl>
  </w:abstractNum>
  <w:abstractNum w:abstractNumId="12">
    <w:nsid w:val="54F63851"/>
    <w:multiLevelType w:val="hybridMultilevel"/>
    <w:tmpl w:val="87EABDD8"/>
    <w:lvl w:ilvl="0" w:tplc="59F0CCC6">
      <w:start w:val="1"/>
      <w:numFmt w:val="decimal"/>
      <w:lvlText w:val="表%1："/>
      <w:lvlJc w:val="left"/>
      <w:pPr>
        <w:ind w:left="2253" w:hanging="420"/>
      </w:pPr>
      <w:rPr>
        <w:rFonts w:ascii="Arial" w:eastAsia="楷体_GB2312" w:hAnsi="Arial" w:hint="default"/>
        <w:b/>
        <w:bCs/>
        <w:i w:val="0"/>
        <w:iCs w:val="0"/>
        <w:sz w:val="21"/>
        <w:szCs w:val="21"/>
      </w:rPr>
    </w:lvl>
    <w:lvl w:ilvl="1" w:tplc="04090019">
      <w:start w:val="1"/>
      <w:numFmt w:val="lowerLetter"/>
      <w:lvlText w:val="%2)"/>
      <w:lvlJc w:val="left"/>
      <w:pPr>
        <w:ind w:left="1680" w:hanging="420"/>
      </w:pPr>
    </w:lvl>
    <w:lvl w:ilvl="2" w:tplc="0409001B">
      <w:start w:val="1"/>
      <w:numFmt w:val="lowerRoman"/>
      <w:lvlText w:val="%3."/>
      <w:lvlJc w:val="right"/>
      <w:pPr>
        <w:ind w:left="2100" w:hanging="420"/>
      </w:pPr>
    </w:lvl>
    <w:lvl w:ilvl="3" w:tplc="0409000F">
      <w:start w:val="1"/>
      <w:numFmt w:val="decimal"/>
      <w:lvlText w:val="%4."/>
      <w:lvlJc w:val="left"/>
      <w:pPr>
        <w:ind w:left="2520" w:hanging="420"/>
      </w:pPr>
    </w:lvl>
    <w:lvl w:ilvl="4" w:tplc="04090019">
      <w:start w:val="1"/>
      <w:numFmt w:val="lowerLetter"/>
      <w:lvlText w:val="%5)"/>
      <w:lvlJc w:val="left"/>
      <w:pPr>
        <w:ind w:left="2940" w:hanging="420"/>
      </w:pPr>
    </w:lvl>
    <w:lvl w:ilvl="5" w:tplc="0409001B">
      <w:start w:val="1"/>
      <w:numFmt w:val="lowerRoman"/>
      <w:lvlText w:val="%6."/>
      <w:lvlJc w:val="right"/>
      <w:pPr>
        <w:ind w:left="3360" w:hanging="420"/>
      </w:pPr>
    </w:lvl>
    <w:lvl w:ilvl="6" w:tplc="0409000F">
      <w:start w:val="1"/>
      <w:numFmt w:val="decimal"/>
      <w:lvlText w:val="%7."/>
      <w:lvlJc w:val="left"/>
      <w:pPr>
        <w:ind w:left="3780" w:hanging="420"/>
      </w:pPr>
    </w:lvl>
    <w:lvl w:ilvl="7" w:tplc="04090019">
      <w:start w:val="1"/>
      <w:numFmt w:val="lowerLetter"/>
      <w:lvlText w:val="%8)"/>
      <w:lvlJc w:val="left"/>
      <w:pPr>
        <w:ind w:left="4200" w:hanging="420"/>
      </w:pPr>
    </w:lvl>
    <w:lvl w:ilvl="8" w:tplc="0409001B">
      <w:start w:val="1"/>
      <w:numFmt w:val="lowerRoman"/>
      <w:lvlText w:val="%9."/>
      <w:lvlJc w:val="right"/>
      <w:pPr>
        <w:ind w:left="4620" w:hanging="420"/>
      </w:pPr>
    </w:lvl>
  </w:abstractNum>
  <w:abstractNum w:abstractNumId="13">
    <w:nsid w:val="65276324"/>
    <w:multiLevelType w:val="hybridMultilevel"/>
    <w:tmpl w:val="66FEA824"/>
    <w:lvl w:ilvl="0" w:tplc="72464B36">
      <w:start w:val="1"/>
      <w:numFmt w:val="decimal"/>
      <w:lvlText w:val="表%1："/>
      <w:lvlJc w:val="left"/>
      <w:pPr>
        <w:ind w:left="1107" w:hanging="420"/>
      </w:pPr>
      <w:rPr>
        <w:rFonts w:ascii="Arial" w:eastAsia="楷体_GB2312" w:hAnsi="Arial" w:hint="default"/>
        <w:b/>
        <w:bCs/>
        <w:i w:val="0"/>
        <w:iCs w:val="0"/>
        <w:sz w:val="21"/>
        <w:szCs w:val="21"/>
      </w:rPr>
    </w:lvl>
    <w:lvl w:ilvl="1" w:tplc="04090019">
      <w:start w:val="1"/>
      <w:numFmt w:val="lowerLetter"/>
      <w:lvlText w:val="%2)"/>
      <w:lvlJc w:val="left"/>
      <w:pPr>
        <w:ind w:left="1527" w:hanging="420"/>
      </w:pPr>
    </w:lvl>
    <w:lvl w:ilvl="2" w:tplc="0409001B">
      <w:start w:val="1"/>
      <w:numFmt w:val="lowerRoman"/>
      <w:lvlText w:val="%3."/>
      <w:lvlJc w:val="right"/>
      <w:pPr>
        <w:ind w:left="1947" w:hanging="420"/>
      </w:pPr>
    </w:lvl>
    <w:lvl w:ilvl="3" w:tplc="0409000F">
      <w:start w:val="1"/>
      <w:numFmt w:val="decimal"/>
      <w:lvlText w:val="%4."/>
      <w:lvlJc w:val="left"/>
      <w:pPr>
        <w:ind w:left="2367" w:hanging="420"/>
      </w:pPr>
    </w:lvl>
    <w:lvl w:ilvl="4" w:tplc="04090019">
      <w:start w:val="1"/>
      <w:numFmt w:val="lowerLetter"/>
      <w:lvlText w:val="%5)"/>
      <w:lvlJc w:val="left"/>
      <w:pPr>
        <w:ind w:left="2787" w:hanging="420"/>
      </w:pPr>
    </w:lvl>
    <w:lvl w:ilvl="5" w:tplc="0409001B">
      <w:start w:val="1"/>
      <w:numFmt w:val="lowerRoman"/>
      <w:lvlText w:val="%6."/>
      <w:lvlJc w:val="right"/>
      <w:pPr>
        <w:ind w:left="3207" w:hanging="420"/>
      </w:pPr>
    </w:lvl>
    <w:lvl w:ilvl="6" w:tplc="0409000F">
      <w:start w:val="1"/>
      <w:numFmt w:val="decimal"/>
      <w:lvlText w:val="%7."/>
      <w:lvlJc w:val="left"/>
      <w:pPr>
        <w:ind w:left="3627" w:hanging="420"/>
      </w:pPr>
    </w:lvl>
    <w:lvl w:ilvl="7" w:tplc="04090019">
      <w:start w:val="1"/>
      <w:numFmt w:val="lowerLetter"/>
      <w:lvlText w:val="%8)"/>
      <w:lvlJc w:val="left"/>
      <w:pPr>
        <w:ind w:left="4047" w:hanging="420"/>
      </w:pPr>
    </w:lvl>
    <w:lvl w:ilvl="8" w:tplc="0409001B">
      <w:start w:val="1"/>
      <w:numFmt w:val="lowerRoman"/>
      <w:lvlText w:val="%9."/>
      <w:lvlJc w:val="right"/>
      <w:pPr>
        <w:ind w:left="4467" w:hanging="420"/>
      </w:pPr>
    </w:lvl>
  </w:abstractNum>
  <w:abstractNum w:abstractNumId="14">
    <w:nsid w:val="6A631949"/>
    <w:multiLevelType w:val="hybridMultilevel"/>
    <w:tmpl w:val="5D40E550"/>
    <w:lvl w:ilvl="0" w:tplc="04090001">
      <w:start w:val="1"/>
      <w:numFmt w:val="bullet"/>
      <w:lvlText w:val=""/>
      <w:lvlJc w:val="left"/>
      <w:pPr>
        <w:ind w:left="840" w:hanging="420"/>
      </w:pPr>
      <w:rPr>
        <w:rFonts w:ascii="Wingdings" w:hAnsi="Wingdings" w:cs="Wingdings" w:hint="default"/>
      </w:rPr>
    </w:lvl>
    <w:lvl w:ilvl="1" w:tplc="04090003">
      <w:start w:val="1"/>
      <w:numFmt w:val="bullet"/>
      <w:lvlText w:val=""/>
      <w:lvlJc w:val="left"/>
      <w:pPr>
        <w:ind w:left="1260" w:hanging="420"/>
      </w:pPr>
      <w:rPr>
        <w:rFonts w:ascii="Wingdings" w:hAnsi="Wingdings" w:cs="Wingdings" w:hint="default"/>
      </w:rPr>
    </w:lvl>
    <w:lvl w:ilvl="2" w:tplc="04090005">
      <w:start w:val="1"/>
      <w:numFmt w:val="bullet"/>
      <w:lvlText w:val=""/>
      <w:lvlJc w:val="left"/>
      <w:pPr>
        <w:ind w:left="1680" w:hanging="420"/>
      </w:pPr>
      <w:rPr>
        <w:rFonts w:ascii="Wingdings" w:hAnsi="Wingdings" w:cs="Wingdings" w:hint="default"/>
      </w:rPr>
    </w:lvl>
    <w:lvl w:ilvl="3" w:tplc="04090001">
      <w:start w:val="1"/>
      <w:numFmt w:val="bullet"/>
      <w:lvlText w:val=""/>
      <w:lvlJc w:val="left"/>
      <w:pPr>
        <w:ind w:left="2100" w:hanging="420"/>
      </w:pPr>
      <w:rPr>
        <w:rFonts w:ascii="Wingdings" w:hAnsi="Wingdings" w:cs="Wingdings" w:hint="default"/>
      </w:rPr>
    </w:lvl>
    <w:lvl w:ilvl="4" w:tplc="04090003">
      <w:start w:val="1"/>
      <w:numFmt w:val="bullet"/>
      <w:lvlText w:val=""/>
      <w:lvlJc w:val="left"/>
      <w:pPr>
        <w:ind w:left="2520" w:hanging="420"/>
      </w:pPr>
      <w:rPr>
        <w:rFonts w:ascii="Wingdings" w:hAnsi="Wingdings" w:cs="Wingdings" w:hint="default"/>
      </w:rPr>
    </w:lvl>
    <w:lvl w:ilvl="5" w:tplc="04090005">
      <w:start w:val="1"/>
      <w:numFmt w:val="bullet"/>
      <w:lvlText w:val=""/>
      <w:lvlJc w:val="left"/>
      <w:pPr>
        <w:ind w:left="2940" w:hanging="420"/>
      </w:pPr>
      <w:rPr>
        <w:rFonts w:ascii="Wingdings" w:hAnsi="Wingdings" w:cs="Wingdings" w:hint="default"/>
      </w:rPr>
    </w:lvl>
    <w:lvl w:ilvl="6" w:tplc="04090001">
      <w:start w:val="1"/>
      <w:numFmt w:val="bullet"/>
      <w:lvlText w:val=""/>
      <w:lvlJc w:val="left"/>
      <w:pPr>
        <w:ind w:left="3360" w:hanging="420"/>
      </w:pPr>
      <w:rPr>
        <w:rFonts w:ascii="Wingdings" w:hAnsi="Wingdings" w:cs="Wingdings" w:hint="default"/>
      </w:rPr>
    </w:lvl>
    <w:lvl w:ilvl="7" w:tplc="04090003">
      <w:start w:val="1"/>
      <w:numFmt w:val="bullet"/>
      <w:lvlText w:val=""/>
      <w:lvlJc w:val="left"/>
      <w:pPr>
        <w:ind w:left="3780" w:hanging="420"/>
      </w:pPr>
      <w:rPr>
        <w:rFonts w:ascii="Wingdings" w:hAnsi="Wingdings" w:cs="Wingdings" w:hint="default"/>
      </w:rPr>
    </w:lvl>
    <w:lvl w:ilvl="8" w:tplc="04090005">
      <w:start w:val="1"/>
      <w:numFmt w:val="bullet"/>
      <w:lvlText w:val=""/>
      <w:lvlJc w:val="left"/>
      <w:pPr>
        <w:ind w:left="4200" w:hanging="420"/>
      </w:pPr>
      <w:rPr>
        <w:rFonts w:ascii="Wingdings" w:hAnsi="Wingdings" w:cs="Wingdings" w:hint="default"/>
      </w:rPr>
    </w:lvl>
  </w:abstractNum>
  <w:abstractNum w:abstractNumId="15">
    <w:nsid w:val="787B6BE9"/>
    <w:multiLevelType w:val="hybridMultilevel"/>
    <w:tmpl w:val="46FA6C1E"/>
    <w:lvl w:ilvl="0" w:tplc="F8602F06">
      <w:start w:val="1"/>
      <w:numFmt w:val="decimal"/>
      <w:lvlText w:val="表%1："/>
      <w:lvlJc w:val="left"/>
      <w:pPr>
        <w:ind w:left="420" w:hanging="420"/>
      </w:pPr>
      <w:rPr>
        <w:rFonts w:ascii="Arial" w:eastAsia="楷体_GB2312" w:hAnsi="Arial" w:hint="default"/>
        <w:b/>
        <w:bCs/>
        <w:i w:val="0"/>
        <w:iCs w:val="0"/>
        <w:sz w:val="21"/>
        <w:szCs w:val="21"/>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5"/>
  </w:num>
  <w:num w:numId="2">
    <w:abstractNumId w:val="9"/>
  </w:num>
  <w:num w:numId="3">
    <w:abstractNumId w:val="7"/>
  </w:num>
  <w:num w:numId="4">
    <w:abstractNumId w:val="15"/>
  </w:num>
  <w:num w:numId="5">
    <w:abstractNumId w:val="11"/>
  </w:num>
  <w:num w:numId="6">
    <w:abstractNumId w:val="14"/>
  </w:num>
  <w:num w:numId="7">
    <w:abstractNumId w:val="6"/>
  </w:num>
  <w:num w:numId="8">
    <w:abstractNumId w:val="0"/>
  </w:num>
  <w:num w:numId="9">
    <w:abstractNumId w:val="2"/>
  </w:num>
  <w:num w:numId="10">
    <w:abstractNumId w:val="1"/>
  </w:num>
  <w:num w:numId="11">
    <w:abstractNumId w:val="8"/>
  </w:num>
  <w:num w:numId="12">
    <w:abstractNumId w:val="10"/>
  </w:num>
  <w:num w:numId="13">
    <w:abstractNumId w:val="4"/>
  </w:num>
  <w:num w:numId="14">
    <w:abstractNumId w:val="12"/>
  </w:num>
  <w:num w:numId="15">
    <w:abstractNumId w:val="13"/>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4959"/>
    <w:rsid w:val="0000343F"/>
    <w:rsid w:val="0000390F"/>
    <w:rsid w:val="00007A6E"/>
    <w:rsid w:val="00010CFE"/>
    <w:rsid w:val="00013AC4"/>
    <w:rsid w:val="00013F06"/>
    <w:rsid w:val="00015A53"/>
    <w:rsid w:val="000226FB"/>
    <w:rsid w:val="00035403"/>
    <w:rsid w:val="0004353E"/>
    <w:rsid w:val="0004679C"/>
    <w:rsid w:val="00047506"/>
    <w:rsid w:val="000479D3"/>
    <w:rsid w:val="00054CD7"/>
    <w:rsid w:val="000566B6"/>
    <w:rsid w:val="00056970"/>
    <w:rsid w:val="00063C10"/>
    <w:rsid w:val="000658E8"/>
    <w:rsid w:val="00065BFD"/>
    <w:rsid w:val="00087FDD"/>
    <w:rsid w:val="00091614"/>
    <w:rsid w:val="000B241C"/>
    <w:rsid w:val="000B557B"/>
    <w:rsid w:val="000C3331"/>
    <w:rsid w:val="000C6442"/>
    <w:rsid w:val="000D2E10"/>
    <w:rsid w:val="000D6228"/>
    <w:rsid w:val="000E26B0"/>
    <w:rsid w:val="000E3498"/>
    <w:rsid w:val="000E3E62"/>
    <w:rsid w:val="000E5002"/>
    <w:rsid w:val="000E633A"/>
    <w:rsid w:val="000E6A7C"/>
    <w:rsid w:val="000E7A90"/>
    <w:rsid w:val="000F1252"/>
    <w:rsid w:val="000F2EB0"/>
    <w:rsid w:val="00106F52"/>
    <w:rsid w:val="001136EC"/>
    <w:rsid w:val="00120F51"/>
    <w:rsid w:val="00123A16"/>
    <w:rsid w:val="00125D97"/>
    <w:rsid w:val="00132550"/>
    <w:rsid w:val="00132DA0"/>
    <w:rsid w:val="00133339"/>
    <w:rsid w:val="00134F73"/>
    <w:rsid w:val="0013597C"/>
    <w:rsid w:val="001374D2"/>
    <w:rsid w:val="001375FF"/>
    <w:rsid w:val="00140BC9"/>
    <w:rsid w:val="001410F2"/>
    <w:rsid w:val="00143CB0"/>
    <w:rsid w:val="001448BD"/>
    <w:rsid w:val="00144AF9"/>
    <w:rsid w:val="00144C90"/>
    <w:rsid w:val="001523B0"/>
    <w:rsid w:val="00152740"/>
    <w:rsid w:val="001631A9"/>
    <w:rsid w:val="001644B0"/>
    <w:rsid w:val="00164C52"/>
    <w:rsid w:val="00165F6C"/>
    <w:rsid w:val="00166254"/>
    <w:rsid w:val="00166948"/>
    <w:rsid w:val="001748EA"/>
    <w:rsid w:val="00175CB4"/>
    <w:rsid w:val="00177A3B"/>
    <w:rsid w:val="001840F5"/>
    <w:rsid w:val="0019394E"/>
    <w:rsid w:val="001A5940"/>
    <w:rsid w:val="001A66FC"/>
    <w:rsid w:val="001B4986"/>
    <w:rsid w:val="001B6F38"/>
    <w:rsid w:val="001C372D"/>
    <w:rsid w:val="001C43CB"/>
    <w:rsid w:val="001C5D3A"/>
    <w:rsid w:val="001C7D84"/>
    <w:rsid w:val="001C7F71"/>
    <w:rsid w:val="001D4802"/>
    <w:rsid w:val="001D51ED"/>
    <w:rsid w:val="001D7305"/>
    <w:rsid w:val="001E460F"/>
    <w:rsid w:val="001E5CA2"/>
    <w:rsid w:val="001E6075"/>
    <w:rsid w:val="00203629"/>
    <w:rsid w:val="00204FA9"/>
    <w:rsid w:val="00205ED5"/>
    <w:rsid w:val="002116F1"/>
    <w:rsid w:val="002119D5"/>
    <w:rsid w:val="0021303F"/>
    <w:rsid w:val="00220D61"/>
    <w:rsid w:val="00220DCA"/>
    <w:rsid w:val="00231543"/>
    <w:rsid w:val="00233F3B"/>
    <w:rsid w:val="00237DB2"/>
    <w:rsid w:val="002400EA"/>
    <w:rsid w:val="00245677"/>
    <w:rsid w:val="002539E7"/>
    <w:rsid w:val="00253A46"/>
    <w:rsid w:val="00256C25"/>
    <w:rsid w:val="00257F15"/>
    <w:rsid w:val="002616D6"/>
    <w:rsid w:val="00261F1A"/>
    <w:rsid w:val="00265C4D"/>
    <w:rsid w:val="002662E4"/>
    <w:rsid w:val="00267990"/>
    <w:rsid w:val="002700E8"/>
    <w:rsid w:val="002771FC"/>
    <w:rsid w:val="00287EC6"/>
    <w:rsid w:val="002921AE"/>
    <w:rsid w:val="00292BC5"/>
    <w:rsid w:val="00294FD8"/>
    <w:rsid w:val="0029680E"/>
    <w:rsid w:val="002A5229"/>
    <w:rsid w:val="002B2AEA"/>
    <w:rsid w:val="002B36F7"/>
    <w:rsid w:val="002B3B4C"/>
    <w:rsid w:val="002B5B66"/>
    <w:rsid w:val="002B773E"/>
    <w:rsid w:val="002D0A8F"/>
    <w:rsid w:val="002D2504"/>
    <w:rsid w:val="002D42AA"/>
    <w:rsid w:val="002D497D"/>
    <w:rsid w:val="002D49CC"/>
    <w:rsid w:val="002E2E3C"/>
    <w:rsid w:val="002E7113"/>
    <w:rsid w:val="002F5AE3"/>
    <w:rsid w:val="00305B94"/>
    <w:rsid w:val="0030740A"/>
    <w:rsid w:val="00310007"/>
    <w:rsid w:val="00311EAF"/>
    <w:rsid w:val="003161FB"/>
    <w:rsid w:val="0032052F"/>
    <w:rsid w:val="00323B1E"/>
    <w:rsid w:val="00327A41"/>
    <w:rsid w:val="00327ECF"/>
    <w:rsid w:val="003317BF"/>
    <w:rsid w:val="00332B6C"/>
    <w:rsid w:val="00347795"/>
    <w:rsid w:val="00352678"/>
    <w:rsid w:val="00356826"/>
    <w:rsid w:val="00362F45"/>
    <w:rsid w:val="00366A6C"/>
    <w:rsid w:val="0036778E"/>
    <w:rsid w:val="003677F4"/>
    <w:rsid w:val="00367CD4"/>
    <w:rsid w:val="003704C2"/>
    <w:rsid w:val="00370B4F"/>
    <w:rsid w:val="00373D3C"/>
    <w:rsid w:val="003766C4"/>
    <w:rsid w:val="00377A5F"/>
    <w:rsid w:val="00381599"/>
    <w:rsid w:val="00382F8E"/>
    <w:rsid w:val="003846BF"/>
    <w:rsid w:val="00385364"/>
    <w:rsid w:val="003926D6"/>
    <w:rsid w:val="00393F3B"/>
    <w:rsid w:val="003A2B98"/>
    <w:rsid w:val="003A2FA8"/>
    <w:rsid w:val="003A5267"/>
    <w:rsid w:val="003B3CF4"/>
    <w:rsid w:val="003C1A9F"/>
    <w:rsid w:val="003C4CEF"/>
    <w:rsid w:val="003D0AB8"/>
    <w:rsid w:val="003D0B4A"/>
    <w:rsid w:val="003D6A84"/>
    <w:rsid w:val="003E0387"/>
    <w:rsid w:val="003E1B0F"/>
    <w:rsid w:val="003E3438"/>
    <w:rsid w:val="003E3924"/>
    <w:rsid w:val="003F227E"/>
    <w:rsid w:val="003F3A32"/>
    <w:rsid w:val="003F7380"/>
    <w:rsid w:val="00407C3F"/>
    <w:rsid w:val="0041143C"/>
    <w:rsid w:val="00412F85"/>
    <w:rsid w:val="00414F07"/>
    <w:rsid w:val="00416050"/>
    <w:rsid w:val="00421840"/>
    <w:rsid w:val="004223D2"/>
    <w:rsid w:val="00422FFE"/>
    <w:rsid w:val="004240EE"/>
    <w:rsid w:val="00427EBA"/>
    <w:rsid w:val="00430F26"/>
    <w:rsid w:val="00432489"/>
    <w:rsid w:val="004338CB"/>
    <w:rsid w:val="0043529E"/>
    <w:rsid w:val="00447768"/>
    <w:rsid w:val="00452228"/>
    <w:rsid w:val="00453A95"/>
    <w:rsid w:val="00453F9C"/>
    <w:rsid w:val="00455746"/>
    <w:rsid w:val="00456127"/>
    <w:rsid w:val="00456B2E"/>
    <w:rsid w:val="00457DDD"/>
    <w:rsid w:val="004605B2"/>
    <w:rsid w:val="00462597"/>
    <w:rsid w:val="004733CF"/>
    <w:rsid w:val="00477DB9"/>
    <w:rsid w:val="00486CCB"/>
    <w:rsid w:val="00486D27"/>
    <w:rsid w:val="00497587"/>
    <w:rsid w:val="004A15EF"/>
    <w:rsid w:val="004A7543"/>
    <w:rsid w:val="004B38A5"/>
    <w:rsid w:val="004B507B"/>
    <w:rsid w:val="004C0D5C"/>
    <w:rsid w:val="004C0F9F"/>
    <w:rsid w:val="004C1139"/>
    <w:rsid w:val="004C388A"/>
    <w:rsid w:val="004C430F"/>
    <w:rsid w:val="004D1D80"/>
    <w:rsid w:val="004D2C83"/>
    <w:rsid w:val="004D5706"/>
    <w:rsid w:val="004D6036"/>
    <w:rsid w:val="004D717C"/>
    <w:rsid w:val="004D7B06"/>
    <w:rsid w:val="004E3231"/>
    <w:rsid w:val="004E3736"/>
    <w:rsid w:val="004E518B"/>
    <w:rsid w:val="004E5E12"/>
    <w:rsid w:val="004F4CD3"/>
    <w:rsid w:val="00501086"/>
    <w:rsid w:val="005069CC"/>
    <w:rsid w:val="00507D87"/>
    <w:rsid w:val="00513790"/>
    <w:rsid w:val="00513DB2"/>
    <w:rsid w:val="00517E80"/>
    <w:rsid w:val="005222C1"/>
    <w:rsid w:val="00523E46"/>
    <w:rsid w:val="0052738A"/>
    <w:rsid w:val="005364A2"/>
    <w:rsid w:val="00541E1A"/>
    <w:rsid w:val="00546674"/>
    <w:rsid w:val="005507FF"/>
    <w:rsid w:val="0055621B"/>
    <w:rsid w:val="00564799"/>
    <w:rsid w:val="00564A96"/>
    <w:rsid w:val="00567DF6"/>
    <w:rsid w:val="005701DB"/>
    <w:rsid w:val="00570361"/>
    <w:rsid w:val="00572424"/>
    <w:rsid w:val="0057467C"/>
    <w:rsid w:val="0058486C"/>
    <w:rsid w:val="00587A5B"/>
    <w:rsid w:val="0059083C"/>
    <w:rsid w:val="005A5458"/>
    <w:rsid w:val="005B0C6B"/>
    <w:rsid w:val="005B378C"/>
    <w:rsid w:val="005B3A4E"/>
    <w:rsid w:val="005C5C16"/>
    <w:rsid w:val="005D3088"/>
    <w:rsid w:val="005D4260"/>
    <w:rsid w:val="005E01C4"/>
    <w:rsid w:val="005E07BF"/>
    <w:rsid w:val="005E2F73"/>
    <w:rsid w:val="005E5B95"/>
    <w:rsid w:val="005F0262"/>
    <w:rsid w:val="005F194A"/>
    <w:rsid w:val="005F1FF5"/>
    <w:rsid w:val="005F4EE3"/>
    <w:rsid w:val="005F7A99"/>
    <w:rsid w:val="0060007C"/>
    <w:rsid w:val="0060619C"/>
    <w:rsid w:val="006122C3"/>
    <w:rsid w:val="00615D6F"/>
    <w:rsid w:val="0061787A"/>
    <w:rsid w:val="00617E3C"/>
    <w:rsid w:val="0063033E"/>
    <w:rsid w:val="00635DFE"/>
    <w:rsid w:val="00640C88"/>
    <w:rsid w:val="00642516"/>
    <w:rsid w:val="006425B7"/>
    <w:rsid w:val="00664131"/>
    <w:rsid w:val="00665203"/>
    <w:rsid w:val="00670F35"/>
    <w:rsid w:val="006838B5"/>
    <w:rsid w:val="006849B8"/>
    <w:rsid w:val="006963AB"/>
    <w:rsid w:val="0069748A"/>
    <w:rsid w:val="006A0915"/>
    <w:rsid w:val="006A5D96"/>
    <w:rsid w:val="006A7FAB"/>
    <w:rsid w:val="006B0694"/>
    <w:rsid w:val="006B1EA1"/>
    <w:rsid w:val="006B2879"/>
    <w:rsid w:val="006B7A3B"/>
    <w:rsid w:val="006C1299"/>
    <w:rsid w:val="006C4345"/>
    <w:rsid w:val="006C4B70"/>
    <w:rsid w:val="006C4E04"/>
    <w:rsid w:val="006D2220"/>
    <w:rsid w:val="006D4904"/>
    <w:rsid w:val="006D533C"/>
    <w:rsid w:val="006D5BCB"/>
    <w:rsid w:val="006E1E43"/>
    <w:rsid w:val="006E2495"/>
    <w:rsid w:val="006E2B09"/>
    <w:rsid w:val="006E52B2"/>
    <w:rsid w:val="006E57A0"/>
    <w:rsid w:val="006F1064"/>
    <w:rsid w:val="006F6174"/>
    <w:rsid w:val="006F676D"/>
    <w:rsid w:val="007019BD"/>
    <w:rsid w:val="0071785C"/>
    <w:rsid w:val="007248E9"/>
    <w:rsid w:val="007251E1"/>
    <w:rsid w:val="00727B1B"/>
    <w:rsid w:val="00735D83"/>
    <w:rsid w:val="007368D1"/>
    <w:rsid w:val="00736B5D"/>
    <w:rsid w:val="0074616A"/>
    <w:rsid w:val="00747811"/>
    <w:rsid w:val="00747F10"/>
    <w:rsid w:val="00750377"/>
    <w:rsid w:val="00750F96"/>
    <w:rsid w:val="00753E03"/>
    <w:rsid w:val="00755FEA"/>
    <w:rsid w:val="00760EF1"/>
    <w:rsid w:val="00763619"/>
    <w:rsid w:val="00770112"/>
    <w:rsid w:val="007753FF"/>
    <w:rsid w:val="00782535"/>
    <w:rsid w:val="00783054"/>
    <w:rsid w:val="00784CDA"/>
    <w:rsid w:val="00785DEB"/>
    <w:rsid w:val="00791180"/>
    <w:rsid w:val="00792317"/>
    <w:rsid w:val="007931AD"/>
    <w:rsid w:val="007A10A8"/>
    <w:rsid w:val="007A4089"/>
    <w:rsid w:val="007A511C"/>
    <w:rsid w:val="007A5C07"/>
    <w:rsid w:val="007B3993"/>
    <w:rsid w:val="007B4714"/>
    <w:rsid w:val="007C3511"/>
    <w:rsid w:val="007D3746"/>
    <w:rsid w:val="007D6BA5"/>
    <w:rsid w:val="007E237A"/>
    <w:rsid w:val="007E6509"/>
    <w:rsid w:val="007F2068"/>
    <w:rsid w:val="007F3AED"/>
    <w:rsid w:val="007F62E4"/>
    <w:rsid w:val="008027D8"/>
    <w:rsid w:val="00807FF9"/>
    <w:rsid w:val="00811848"/>
    <w:rsid w:val="00817E03"/>
    <w:rsid w:val="00825844"/>
    <w:rsid w:val="00836B72"/>
    <w:rsid w:val="00836C26"/>
    <w:rsid w:val="00840302"/>
    <w:rsid w:val="00843455"/>
    <w:rsid w:val="00844342"/>
    <w:rsid w:val="0084598C"/>
    <w:rsid w:val="008504EA"/>
    <w:rsid w:val="00852136"/>
    <w:rsid w:val="00852FCE"/>
    <w:rsid w:val="00854765"/>
    <w:rsid w:val="008667DD"/>
    <w:rsid w:val="00880F1B"/>
    <w:rsid w:val="008821C5"/>
    <w:rsid w:val="00886D86"/>
    <w:rsid w:val="0089362D"/>
    <w:rsid w:val="008A41B8"/>
    <w:rsid w:val="008A4CCE"/>
    <w:rsid w:val="008A665E"/>
    <w:rsid w:val="008B0349"/>
    <w:rsid w:val="008C2000"/>
    <w:rsid w:val="008D058A"/>
    <w:rsid w:val="008D4B5F"/>
    <w:rsid w:val="008D529B"/>
    <w:rsid w:val="008D67EC"/>
    <w:rsid w:val="008E2801"/>
    <w:rsid w:val="008E719E"/>
    <w:rsid w:val="008F15A2"/>
    <w:rsid w:val="008F3C6B"/>
    <w:rsid w:val="008F48B1"/>
    <w:rsid w:val="008F7797"/>
    <w:rsid w:val="009000EC"/>
    <w:rsid w:val="00903957"/>
    <w:rsid w:val="009074CC"/>
    <w:rsid w:val="00913CC6"/>
    <w:rsid w:val="0092112E"/>
    <w:rsid w:val="0092153D"/>
    <w:rsid w:val="0092305A"/>
    <w:rsid w:val="009251DF"/>
    <w:rsid w:val="0093685B"/>
    <w:rsid w:val="00941639"/>
    <w:rsid w:val="00941F06"/>
    <w:rsid w:val="0095773F"/>
    <w:rsid w:val="009601B5"/>
    <w:rsid w:val="0096129E"/>
    <w:rsid w:val="00964710"/>
    <w:rsid w:val="009755BF"/>
    <w:rsid w:val="009758EC"/>
    <w:rsid w:val="00980F1E"/>
    <w:rsid w:val="00985DC3"/>
    <w:rsid w:val="009876CE"/>
    <w:rsid w:val="00990A4D"/>
    <w:rsid w:val="009A327E"/>
    <w:rsid w:val="009A54A0"/>
    <w:rsid w:val="009B0CEC"/>
    <w:rsid w:val="009B12D9"/>
    <w:rsid w:val="009B17C1"/>
    <w:rsid w:val="009B58AE"/>
    <w:rsid w:val="009B70B6"/>
    <w:rsid w:val="009C1138"/>
    <w:rsid w:val="009C226A"/>
    <w:rsid w:val="009C22D0"/>
    <w:rsid w:val="009C725C"/>
    <w:rsid w:val="009D0C69"/>
    <w:rsid w:val="009D3C76"/>
    <w:rsid w:val="009D6CAF"/>
    <w:rsid w:val="009D76DA"/>
    <w:rsid w:val="009D775C"/>
    <w:rsid w:val="009E4CB1"/>
    <w:rsid w:val="009F1890"/>
    <w:rsid w:val="009F1EC1"/>
    <w:rsid w:val="009F2B5C"/>
    <w:rsid w:val="009F6A45"/>
    <w:rsid w:val="009F6B17"/>
    <w:rsid w:val="00A01D7D"/>
    <w:rsid w:val="00A0424E"/>
    <w:rsid w:val="00A05DDA"/>
    <w:rsid w:val="00A06890"/>
    <w:rsid w:val="00A14107"/>
    <w:rsid w:val="00A2527A"/>
    <w:rsid w:val="00A27F43"/>
    <w:rsid w:val="00A36EAF"/>
    <w:rsid w:val="00A37BA2"/>
    <w:rsid w:val="00A44742"/>
    <w:rsid w:val="00A46B92"/>
    <w:rsid w:val="00A50836"/>
    <w:rsid w:val="00A52D24"/>
    <w:rsid w:val="00A53F84"/>
    <w:rsid w:val="00A55EC4"/>
    <w:rsid w:val="00A565AF"/>
    <w:rsid w:val="00A60650"/>
    <w:rsid w:val="00A67AD5"/>
    <w:rsid w:val="00A742E7"/>
    <w:rsid w:val="00A813A7"/>
    <w:rsid w:val="00A83A5B"/>
    <w:rsid w:val="00A83D19"/>
    <w:rsid w:val="00A945B8"/>
    <w:rsid w:val="00A94E84"/>
    <w:rsid w:val="00A961BE"/>
    <w:rsid w:val="00AA3F03"/>
    <w:rsid w:val="00AB1233"/>
    <w:rsid w:val="00AB4243"/>
    <w:rsid w:val="00AB465A"/>
    <w:rsid w:val="00AB77DA"/>
    <w:rsid w:val="00AC07D7"/>
    <w:rsid w:val="00AC23AC"/>
    <w:rsid w:val="00AC6427"/>
    <w:rsid w:val="00AD17DB"/>
    <w:rsid w:val="00AD358A"/>
    <w:rsid w:val="00AE2EA8"/>
    <w:rsid w:val="00AE6992"/>
    <w:rsid w:val="00AF1016"/>
    <w:rsid w:val="00AF2426"/>
    <w:rsid w:val="00AF5EB2"/>
    <w:rsid w:val="00AF718A"/>
    <w:rsid w:val="00B0024C"/>
    <w:rsid w:val="00B0113F"/>
    <w:rsid w:val="00B01EBD"/>
    <w:rsid w:val="00B05416"/>
    <w:rsid w:val="00B17016"/>
    <w:rsid w:val="00B24EF4"/>
    <w:rsid w:val="00B260BD"/>
    <w:rsid w:val="00B315A8"/>
    <w:rsid w:val="00B33D3E"/>
    <w:rsid w:val="00B357FA"/>
    <w:rsid w:val="00B35F48"/>
    <w:rsid w:val="00B51CD0"/>
    <w:rsid w:val="00B63AC1"/>
    <w:rsid w:val="00B658A6"/>
    <w:rsid w:val="00B75B4E"/>
    <w:rsid w:val="00B75C2A"/>
    <w:rsid w:val="00B806A7"/>
    <w:rsid w:val="00B806D3"/>
    <w:rsid w:val="00B812EB"/>
    <w:rsid w:val="00B81EC3"/>
    <w:rsid w:val="00B850BA"/>
    <w:rsid w:val="00B868B0"/>
    <w:rsid w:val="00B86B0D"/>
    <w:rsid w:val="00B87EDB"/>
    <w:rsid w:val="00BA013D"/>
    <w:rsid w:val="00BA2AEA"/>
    <w:rsid w:val="00BA344F"/>
    <w:rsid w:val="00BA405C"/>
    <w:rsid w:val="00BB02CD"/>
    <w:rsid w:val="00BB1EC0"/>
    <w:rsid w:val="00BC2EEC"/>
    <w:rsid w:val="00BC2FAA"/>
    <w:rsid w:val="00BC77F0"/>
    <w:rsid w:val="00BD12DD"/>
    <w:rsid w:val="00BD40F2"/>
    <w:rsid w:val="00BD4959"/>
    <w:rsid w:val="00BD6270"/>
    <w:rsid w:val="00BE040E"/>
    <w:rsid w:val="00BE3C8D"/>
    <w:rsid w:val="00BE7AB3"/>
    <w:rsid w:val="00BE7BDD"/>
    <w:rsid w:val="00BF056F"/>
    <w:rsid w:val="00BF4A63"/>
    <w:rsid w:val="00BF57B9"/>
    <w:rsid w:val="00BF67D3"/>
    <w:rsid w:val="00BF6EE0"/>
    <w:rsid w:val="00C044F5"/>
    <w:rsid w:val="00C05B9D"/>
    <w:rsid w:val="00C104D5"/>
    <w:rsid w:val="00C166C3"/>
    <w:rsid w:val="00C20261"/>
    <w:rsid w:val="00C22AA0"/>
    <w:rsid w:val="00C24AD0"/>
    <w:rsid w:val="00C27301"/>
    <w:rsid w:val="00C31938"/>
    <w:rsid w:val="00C34C74"/>
    <w:rsid w:val="00C34D90"/>
    <w:rsid w:val="00C44181"/>
    <w:rsid w:val="00C44CCC"/>
    <w:rsid w:val="00C54738"/>
    <w:rsid w:val="00C55F90"/>
    <w:rsid w:val="00C606B7"/>
    <w:rsid w:val="00C62B6F"/>
    <w:rsid w:val="00C65C70"/>
    <w:rsid w:val="00C71B9D"/>
    <w:rsid w:val="00C71FEB"/>
    <w:rsid w:val="00C77960"/>
    <w:rsid w:val="00C81238"/>
    <w:rsid w:val="00C835D0"/>
    <w:rsid w:val="00C90A18"/>
    <w:rsid w:val="00C930CD"/>
    <w:rsid w:val="00C931FA"/>
    <w:rsid w:val="00C93465"/>
    <w:rsid w:val="00C960CF"/>
    <w:rsid w:val="00C97053"/>
    <w:rsid w:val="00CA0050"/>
    <w:rsid w:val="00CA1CE5"/>
    <w:rsid w:val="00CA2643"/>
    <w:rsid w:val="00CA588A"/>
    <w:rsid w:val="00CA7A02"/>
    <w:rsid w:val="00CB1C6F"/>
    <w:rsid w:val="00CB3B16"/>
    <w:rsid w:val="00CC04F6"/>
    <w:rsid w:val="00CC0E92"/>
    <w:rsid w:val="00CC1586"/>
    <w:rsid w:val="00CC5476"/>
    <w:rsid w:val="00CD4E43"/>
    <w:rsid w:val="00CD501F"/>
    <w:rsid w:val="00CD6FA0"/>
    <w:rsid w:val="00CD772D"/>
    <w:rsid w:val="00CE0CE4"/>
    <w:rsid w:val="00CE17A5"/>
    <w:rsid w:val="00CE3BC6"/>
    <w:rsid w:val="00CF1305"/>
    <w:rsid w:val="00CF2BE5"/>
    <w:rsid w:val="00CF5FCB"/>
    <w:rsid w:val="00CF7465"/>
    <w:rsid w:val="00D007AA"/>
    <w:rsid w:val="00D05B60"/>
    <w:rsid w:val="00D0659C"/>
    <w:rsid w:val="00D12FD9"/>
    <w:rsid w:val="00D21DDF"/>
    <w:rsid w:val="00D23CFB"/>
    <w:rsid w:val="00D34679"/>
    <w:rsid w:val="00D43216"/>
    <w:rsid w:val="00D54386"/>
    <w:rsid w:val="00D54B5F"/>
    <w:rsid w:val="00D6019C"/>
    <w:rsid w:val="00D618B9"/>
    <w:rsid w:val="00D653ED"/>
    <w:rsid w:val="00D65E4F"/>
    <w:rsid w:val="00D74E64"/>
    <w:rsid w:val="00D768E5"/>
    <w:rsid w:val="00D83B55"/>
    <w:rsid w:val="00D91040"/>
    <w:rsid w:val="00D91502"/>
    <w:rsid w:val="00D926EF"/>
    <w:rsid w:val="00D939E8"/>
    <w:rsid w:val="00D96ED1"/>
    <w:rsid w:val="00DA02EF"/>
    <w:rsid w:val="00DA0843"/>
    <w:rsid w:val="00DA19D3"/>
    <w:rsid w:val="00DA4293"/>
    <w:rsid w:val="00DA55F5"/>
    <w:rsid w:val="00DA6D0C"/>
    <w:rsid w:val="00DA72E1"/>
    <w:rsid w:val="00DA7854"/>
    <w:rsid w:val="00DB34DA"/>
    <w:rsid w:val="00DB5964"/>
    <w:rsid w:val="00DC1BF9"/>
    <w:rsid w:val="00DC267F"/>
    <w:rsid w:val="00DD33BB"/>
    <w:rsid w:val="00DD4AC1"/>
    <w:rsid w:val="00DD6D8D"/>
    <w:rsid w:val="00DE2C55"/>
    <w:rsid w:val="00DE3B34"/>
    <w:rsid w:val="00E0069F"/>
    <w:rsid w:val="00E03CF5"/>
    <w:rsid w:val="00E151BD"/>
    <w:rsid w:val="00E17140"/>
    <w:rsid w:val="00E245DF"/>
    <w:rsid w:val="00E3174E"/>
    <w:rsid w:val="00E34A93"/>
    <w:rsid w:val="00E36D41"/>
    <w:rsid w:val="00E429D3"/>
    <w:rsid w:val="00E45FFA"/>
    <w:rsid w:val="00E475BC"/>
    <w:rsid w:val="00E54076"/>
    <w:rsid w:val="00E56702"/>
    <w:rsid w:val="00E6245E"/>
    <w:rsid w:val="00E65C29"/>
    <w:rsid w:val="00E72364"/>
    <w:rsid w:val="00E75954"/>
    <w:rsid w:val="00E77E3F"/>
    <w:rsid w:val="00E87D2C"/>
    <w:rsid w:val="00E90135"/>
    <w:rsid w:val="00E967F2"/>
    <w:rsid w:val="00EA1F89"/>
    <w:rsid w:val="00EA2499"/>
    <w:rsid w:val="00EA4784"/>
    <w:rsid w:val="00EA5790"/>
    <w:rsid w:val="00EA5D3D"/>
    <w:rsid w:val="00EA5E98"/>
    <w:rsid w:val="00EA71AF"/>
    <w:rsid w:val="00EB4756"/>
    <w:rsid w:val="00EB4CCE"/>
    <w:rsid w:val="00EB771A"/>
    <w:rsid w:val="00EC2B41"/>
    <w:rsid w:val="00EC58A1"/>
    <w:rsid w:val="00EC7B83"/>
    <w:rsid w:val="00ED6AEA"/>
    <w:rsid w:val="00EE4DEC"/>
    <w:rsid w:val="00EF04D7"/>
    <w:rsid w:val="00EF04DD"/>
    <w:rsid w:val="00EF298D"/>
    <w:rsid w:val="00F06017"/>
    <w:rsid w:val="00F12C3D"/>
    <w:rsid w:val="00F16539"/>
    <w:rsid w:val="00F2016E"/>
    <w:rsid w:val="00F20B98"/>
    <w:rsid w:val="00F233A4"/>
    <w:rsid w:val="00F241D0"/>
    <w:rsid w:val="00F2536D"/>
    <w:rsid w:val="00F27588"/>
    <w:rsid w:val="00F330E8"/>
    <w:rsid w:val="00F35FF4"/>
    <w:rsid w:val="00F42B3D"/>
    <w:rsid w:val="00F4320C"/>
    <w:rsid w:val="00F44956"/>
    <w:rsid w:val="00F46602"/>
    <w:rsid w:val="00F55365"/>
    <w:rsid w:val="00F5630A"/>
    <w:rsid w:val="00F56805"/>
    <w:rsid w:val="00F56B10"/>
    <w:rsid w:val="00F56E32"/>
    <w:rsid w:val="00F575C2"/>
    <w:rsid w:val="00F66DBE"/>
    <w:rsid w:val="00F725C6"/>
    <w:rsid w:val="00F80C0C"/>
    <w:rsid w:val="00F844D0"/>
    <w:rsid w:val="00F90B21"/>
    <w:rsid w:val="00F93477"/>
    <w:rsid w:val="00F935FD"/>
    <w:rsid w:val="00F954B3"/>
    <w:rsid w:val="00FA2706"/>
    <w:rsid w:val="00FA3DED"/>
    <w:rsid w:val="00FB331B"/>
    <w:rsid w:val="00FB4E80"/>
    <w:rsid w:val="00FC2C9F"/>
    <w:rsid w:val="00FC3E1B"/>
    <w:rsid w:val="00FD0618"/>
    <w:rsid w:val="00FD0CA5"/>
    <w:rsid w:val="00FD114A"/>
    <w:rsid w:val="00FD3DC1"/>
    <w:rsid w:val="00FD4205"/>
    <w:rsid w:val="00FD4B4F"/>
    <w:rsid w:val="00FD757C"/>
    <w:rsid w:val="00FE18FB"/>
    <w:rsid w:val="00FE29B9"/>
    <w:rsid w:val="00FE450A"/>
    <w:rsid w:val="00FE64E1"/>
    <w:rsid w:val="00FF5121"/>
    <w:rsid w:val="00FF57FE"/>
    <w:rsid w:val="00FF6FD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959"/>
    <w:pPr>
      <w:widowControl w:val="0"/>
      <w:jc w:val="both"/>
    </w:pPr>
    <w:rPr>
      <w:rFonts w:cs="Calibri"/>
      <w:szCs w:val="21"/>
    </w:rPr>
  </w:style>
  <w:style w:type="paragraph" w:styleId="Heading1">
    <w:name w:val="heading 1"/>
    <w:basedOn w:val="Normal"/>
    <w:next w:val="Normal"/>
    <w:link w:val="Heading1Char"/>
    <w:uiPriority w:val="99"/>
    <w:qFormat/>
    <w:rsid w:val="00513DB2"/>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513DB2"/>
    <w:pPr>
      <w:keepNext/>
      <w:keepLines/>
      <w:spacing w:before="260" w:after="260" w:line="416" w:lineRule="auto"/>
      <w:outlineLvl w:val="1"/>
    </w:pPr>
    <w:rPr>
      <w:rFonts w:ascii="Cambria" w:hAnsi="Cambria" w:cs="Cambria"/>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13DB2"/>
    <w:rPr>
      <w:rFonts w:ascii="Calibri" w:eastAsia="宋体" w:hAnsi="Calibri" w:cs="Calibri"/>
      <w:b/>
      <w:bCs/>
      <w:kern w:val="44"/>
      <w:sz w:val="44"/>
      <w:szCs w:val="44"/>
    </w:rPr>
  </w:style>
  <w:style w:type="character" w:customStyle="1" w:styleId="Heading2Char">
    <w:name w:val="Heading 2 Char"/>
    <w:basedOn w:val="DefaultParagraphFont"/>
    <w:link w:val="Heading2"/>
    <w:uiPriority w:val="99"/>
    <w:semiHidden/>
    <w:locked/>
    <w:rsid w:val="00513DB2"/>
    <w:rPr>
      <w:rFonts w:ascii="Cambria" w:eastAsia="宋体" w:hAnsi="Cambria" w:cs="Cambria"/>
      <w:b/>
      <w:bCs/>
      <w:sz w:val="32"/>
      <w:szCs w:val="32"/>
    </w:rPr>
  </w:style>
  <w:style w:type="paragraph" w:styleId="Header">
    <w:name w:val="header"/>
    <w:basedOn w:val="Normal"/>
    <w:link w:val="HeaderChar"/>
    <w:uiPriority w:val="99"/>
    <w:rsid w:val="00BD495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BD4959"/>
    <w:rPr>
      <w:sz w:val="18"/>
      <w:szCs w:val="18"/>
    </w:rPr>
  </w:style>
  <w:style w:type="paragraph" w:styleId="Footer">
    <w:name w:val="footer"/>
    <w:basedOn w:val="Normal"/>
    <w:link w:val="FooterChar"/>
    <w:uiPriority w:val="99"/>
    <w:rsid w:val="00BD495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BD4959"/>
    <w:rPr>
      <w:sz w:val="18"/>
      <w:szCs w:val="18"/>
    </w:rPr>
  </w:style>
  <w:style w:type="paragraph" w:styleId="ListParagraph">
    <w:name w:val="List Paragraph"/>
    <w:basedOn w:val="Normal"/>
    <w:uiPriority w:val="99"/>
    <w:qFormat/>
    <w:rsid w:val="00BD4959"/>
    <w:pPr>
      <w:ind w:firstLineChars="200" w:firstLine="420"/>
    </w:pPr>
  </w:style>
  <w:style w:type="paragraph" w:styleId="BalloonText">
    <w:name w:val="Balloon Text"/>
    <w:basedOn w:val="Normal"/>
    <w:link w:val="BalloonTextChar"/>
    <w:uiPriority w:val="99"/>
    <w:semiHidden/>
    <w:rsid w:val="00BD4959"/>
    <w:rPr>
      <w:sz w:val="18"/>
      <w:szCs w:val="18"/>
    </w:rPr>
  </w:style>
  <w:style w:type="character" w:customStyle="1" w:styleId="BalloonTextChar">
    <w:name w:val="Balloon Text Char"/>
    <w:basedOn w:val="DefaultParagraphFont"/>
    <w:link w:val="BalloonText"/>
    <w:uiPriority w:val="99"/>
    <w:semiHidden/>
    <w:locked/>
    <w:rsid w:val="00BD4959"/>
    <w:rPr>
      <w:rFonts w:ascii="Calibri" w:eastAsia="宋体" w:hAnsi="Calibri" w:cs="Calibri"/>
      <w:sz w:val="18"/>
      <w:szCs w:val="18"/>
    </w:rPr>
  </w:style>
  <w:style w:type="table" w:styleId="TableGrid">
    <w:name w:val="Table Grid"/>
    <w:basedOn w:val="TableNormal"/>
    <w:uiPriority w:val="99"/>
    <w:rsid w:val="007F3AED"/>
    <w:rPr>
      <w:rFonts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8C2000"/>
    <w:pPr>
      <w:snapToGrid w:val="0"/>
      <w:jc w:val="left"/>
    </w:pPr>
    <w:rPr>
      <w:sz w:val="18"/>
      <w:szCs w:val="18"/>
    </w:rPr>
  </w:style>
  <w:style w:type="character" w:customStyle="1" w:styleId="FootnoteTextChar">
    <w:name w:val="Footnote Text Char"/>
    <w:basedOn w:val="DefaultParagraphFont"/>
    <w:link w:val="FootnoteText"/>
    <w:uiPriority w:val="99"/>
    <w:locked/>
    <w:rsid w:val="008C2000"/>
    <w:rPr>
      <w:rFonts w:ascii="Calibri" w:eastAsia="宋体" w:hAnsi="Calibri" w:cs="Calibri"/>
      <w:sz w:val="18"/>
      <w:szCs w:val="18"/>
    </w:rPr>
  </w:style>
  <w:style w:type="character" w:styleId="FootnoteReference">
    <w:name w:val="footnote reference"/>
    <w:basedOn w:val="DefaultParagraphFont"/>
    <w:uiPriority w:val="99"/>
    <w:semiHidden/>
    <w:rsid w:val="008C2000"/>
    <w:rPr>
      <w:vertAlign w:val="superscript"/>
    </w:rPr>
  </w:style>
  <w:style w:type="paragraph" w:styleId="DocumentMap">
    <w:name w:val="Document Map"/>
    <w:basedOn w:val="Normal"/>
    <w:link w:val="DocumentMapChar"/>
    <w:uiPriority w:val="99"/>
    <w:semiHidden/>
    <w:rsid w:val="00134F73"/>
    <w:rPr>
      <w:rFonts w:ascii="宋体" w:cs="宋体"/>
      <w:sz w:val="18"/>
      <w:szCs w:val="18"/>
    </w:rPr>
  </w:style>
  <w:style w:type="character" w:customStyle="1" w:styleId="DocumentMapChar">
    <w:name w:val="Document Map Char"/>
    <w:basedOn w:val="DefaultParagraphFont"/>
    <w:link w:val="DocumentMap"/>
    <w:uiPriority w:val="99"/>
    <w:semiHidden/>
    <w:locked/>
    <w:rsid w:val="00134F73"/>
    <w:rPr>
      <w:rFonts w:ascii="宋体" w:eastAsia="宋体" w:hAnsi="Calibri" w:cs="宋体"/>
      <w:sz w:val="18"/>
      <w:szCs w:val="18"/>
    </w:rPr>
  </w:style>
  <w:style w:type="paragraph" w:styleId="EndnoteText">
    <w:name w:val="endnote text"/>
    <w:basedOn w:val="Normal"/>
    <w:link w:val="EndnoteTextChar"/>
    <w:uiPriority w:val="99"/>
    <w:semiHidden/>
    <w:rsid w:val="00253A46"/>
    <w:pPr>
      <w:snapToGrid w:val="0"/>
      <w:jc w:val="left"/>
    </w:pPr>
  </w:style>
  <w:style w:type="character" w:customStyle="1" w:styleId="EndnoteTextChar">
    <w:name w:val="Endnote Text Char"/>
    <w:basedOn w:val="DefaultParagraphFont"/>
    <w:link w:val="EndnoteText"/>
    <w:uiPriority w:val="99"/>
    <w:semiHidden/>
    <w:locked/>
    <w:rsid w:val="00253A46"/>
    <w:rPr>
      <w:rFonts w:ascii="Calibri" w:eastAsia="宋体" w:hAnsi="Calibri" w:cs="Calibri"/>
    </w:rPr>
  </w:style>
  <w:style w:type="character" w:styleId="EndnoteReference">
    <w:name w:val="endnote reference"/>
    <w:basedOn w:val="DefaultParagraphFont"/>
    <w:uiPriority w:val="99"/>
    <w:semiHidden/>
    <w:rsid w:val="00253A46"/>
    <w:rPr>
      <w:vertAlign w:val="superscript"/>
    </w:rPr>
  </w:style>
  <w:style w:type="character" w:styleId="CommentReference">
    <w:name w:val="annotation reference"/>
    <w:basedOn w:val="DefaultParagraphFont"/>
    <w:uiPriority w:val="99"/>
    <w:semiHidden/>
    <w:rsid w:val="00CE17A5"/>
    <w:rPr>
      <w:sz w:val="21"/>
      <w:szCs w:val="21"/>
    </w:rPr>
  </w:style>
  <w:style w:type="paragraph" w:styleId="NormalWeb">
    <w:name w:val="Normal (Web)"/>
    <w:basedOn w:val="Normal"/>
    <w:uiPriority w:val="99"/>
    <w:rsid w:val="009B12D9"/>
    <w:pPr>
      <w:widowControl/>
      <w:spacing w:beforeAutospacing="1" w:after="100" w:afterAutospacing="1"/>
      <w:jc w:val="left"/>
    </w:pPr>
    <w:rPr>
      <w:rFonts w:ascii="宋体" w:hAnsi="宋体" w:cs="宋体"/>
      <w:kern w:val="0"/>
      <w:sz w:val="24"/>
      <w:szCs w:val="24"/>
    </w:rPr>
  </w:style>
  <w:style w:type="character" w:styleId="Emphasis">
    <w:name w:val="Emphasis"/>
    <w:basedOn w:val="DefaultParagraphFont"/>
    <w:uiPriority w:val="99"/>
    <w:qFormat/>
    <w:rsid w:val="005B378C"/>
    <w:rPr>
      <w:color w:val="auto"/>
    </w:rPr>
  </w:style>
  <w:style w:type="paragraph" w:customStyle="1" w:styleId="visitor1">
    <w:name w:val="visitor1"/>
    <w:basedOn w:val="Normal"/>
    <w:uiPriority w:val="99"/>
    <w:rsid w:val="00EB4756"/>
    <w:pPr>
      <w:widowControl/>
      <w:spacing w:line="300" w:lineRule="atLeast"/>
      <w:jc w:val="left"/>
    </w:pPr>
    <w:rPr>
      <w:rFonts w:ascii="宋体" w:hAnsi="宋体" w:cs="宋体"/>
      <w:b/>
      <w:bCs/>
      <w:color w:val="0486B6"/>
      <w:kern w:val="0"/>
      <w:sz w:val="18"/>
      <w:szCs w:val="18"/>
    </w:rPr>
  </w:style>
  <w:style w:type="paragraph" w:customStyle="1" w:styleId="DecimalAligned">
    <w:name w:val="Decimal Aligned"/>
    <w:basedOn w:val="Normal"/>
    <w:uiPriority w:val="99"/>
    <w:rsid w:val="00B01EBD"/>
    <w:pPr>
      <w:widowControl/>
      <w:tabs>
        <w:tab w:val="decimal" w:pos="360"/>
      </w:tabs>
      <w:spacing w:after="200" w:line="276" w:lineRule="auto"/>
      <w:jc w:val="left"/>
    </w:pPr>
    <w:rPr>
      <w:kern w:val="0"/>
      <w:sz w:val="22"/>
      <w:szCs w:val="22"/>
    </w:rPr>
  </w:style>
  <w:style w:type="character" w:styleId="SubtleEmphasis">
    <w:name w:val="Subtle Emphasis"/>
    <w:basedOn w:val="DefaultParagraphFont"/>
    <w:uiPriority w:val="99"/>
    <w:qFormat/>
    <w:rsid w:val="00B01EBD"/>
    <w:rPr>
      <w:rFonts w:eastAsia="宋体"/>
      <w:i/>
      <w:iCs/>
      <w:color w:val="808080"/>
      <w:sz w:val="22"/>
      <w:szCs w:val="22"/>
      <w:lang w:eastAsia="zh-CN"/>
    </w:rPr>
  </w:style>
  <w:style w:type="table" w:styleId="MediumShading2-Accent5">
    <w:name w:val="Medium Shading 2 Accent 5"/>
    <w:basedOn w:val="TableNormal"/>
    <w:uiPriority w:val="99"/>
    <w:rsid w:val="00B01EBD"/>
    <w:rPr>
      <w:rFonts w:cs="Calibri"/>
      <w:kern w:val="0"/>
      <w:sz w:val="22"/>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
    <w:name w:val="浅色底纹 - 强调文字颜色 11"/>
    <w:uiPriority w:val="99"/>
    <w:rsid w:val="00B01EBD"/>
    <w:rPr>
      <w:rFonts w:cs="Calibri"/>
      <w:color w:val="365F91"/>
      <w:kern w:val="0"/>
      <w:sz w:val="22"/>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
    <w:name w:val="浅色底纹1"/>
    <w:uiPriority w:val="99"/>
    <w:rsid w:val="00B01EBD"/>
    <w:rPr>
      <w:rFonts w:cs="Calibri"/>
      <w:color w:val="000000"/>
      <w:kern w:val="0"/>
      <w:sz w:val="20"/>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styleId="LightShading-Accent2">
    <w:name w:val="Light Shading Accent 2"/>
    <w:basedOn w:val="TableNormal"/>
    <w:uiPriority w:val="99"/>
    <w:rsid w:val="00B01EBD"/>
    <w:rPr>
      <w:rFonts w:cs="Calibri"/>
      <w:color w:val="943634"/>
      <w:kern w:val="0"/>
      <w:sz w:val="20"/>
      <w:szCs w:val="20"/>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99"/>
    <w:rsid w:val="00B01EBD"/>
    <w:rPr>
      <w:rFonts w:cs="Calibri"/>
      <w:color w:val="76923C"/>
      <w:kern w:val="0"/>
      <w:sz w:val="20"/>
      <w:szCs w:val="20"/>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99"/>
    <w:rsid w:val="00B01EBD"/>
    <w:rPr>
      <w:rFonts w:cs="Calibri"/>
      <w:color w:val="5F497A"/>
      <w:kern w:val="0"/>
      <w:sz w:val="20"/>
      <w:szCs w:val="20"/>
    </w:rPr>
    <w:tblPr>
      <w:tblStyleRowBandSize w:val="1"/>
      <w:tblStyleColBandSize w:val="1"/>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99"/>
    <w:rsid w:val="00B01EBD"/>
    <w:rPr>
      <w:rFonts w:cs="Calibri"/>
      <w:color w:val="31849B"/>
      <w:kern w:val="0"/>
      <w:sz w:val="20"/>
      <w:szCs w:val="20"/>
    </w:rPr>
    <w:tblPr>
      <w:tblStyleRowBandSize w:val="1"/>
      <w:tblStyleColBandSize w:val="1"/>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Shading1-Accent5">
    <w:name w:val="Medium Shading 1 Accent 5"/>
    <w:basedOn w:val="TableNormal"/>
    <w:uiPriority w:val="99"/>
    <w:rsid w:val="00B01EBD"/>
    <w:rPr>
      <w:rFonts w:cs="Calibri"/>
      <w:kern w:val="0"/>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1-11">
    <w:name w:val="中等深浅底纹 1 - 强调文字颜色 11"/>
    <w:uiPriority w:val="99"/>
    <w:rsid w:val="00B01EBD"/>
    <w:rPr>
      <w:rFonts w:cs="Calibri"/>
      <w:kern w:val="0"/>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11">
    <w:name w:val="中等深浅底纹 11"/>
    <w:uiPriority w:val="99"/>
    <w:rsid w:val="00B01EBD"/>
    <w:rPr>
      <w:rFonts w:cs="Calibri"/>
      <w:kern w:val="0"/>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styleId="LightGrid-Accent6">
    <w:name w:val="Light Grid Accent 6"/>
    <w:basedOn w:val="TableNormal"/>
    <w:uiPriority w:val="99"/>
    <w:rsid w:val="00B01EBD"/>
    <w:rPr>
      <w:rFonts w:cs="Calibri"/>
      <w:kern w:val="0"/>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pPr>
      <w:rPr>
        <w:rFonts w:ascii="Cambria" w:eastAsia="宋体" w:hAnsi="Cambria" w:cs="Cambria"/>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Cambria" w:eastAsia="宋体" w:hAnsi="Cambria" w:cs="Cambria"/>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宋体" w:hAnsi="Cambria" w:cs="Cambria"/>
        <w:b/>
        <w:bCs/>
      </w:rPr>
    </w:tblStylePr>
    <w:tblStylePr w:type="lastCol">
      <w:rPr>
        <w:rFonts w:ascii="Cambria" w:eastAsia="宋体" w:hAnsi="Cambria" w:cs="Cambria"/>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Grid-Accent5">
    <w:name w:val="Light Grid Accent 5"/>
    <w:basedOn w:val="TableNormal"/>
    <w:uiPriority w:val="99"/>
    <w:rsid w:val="00B01EBD"/>
    <w:rPr>
      <w:rFonts w:cs="Calibri"/>
      <w:kern w:val="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Cambria" w:eastAsia="宋体" w:hAnsi="Cambria" w:cs="Cambria"/>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宋体" w:hAnsi="Cambria" w:cs="Cambria"/>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宋体" w:hAnsi="Cambria" w:cs="Cambria"/>
        <w:b/>
        <w:bCs/>
      </w:rPr>
    </w:tblStylePr>
    <w:tblStylePr w:type="lastCol">
      <w:rPr>
        <w:rFonts w:ascii="Cambria" w:eastAsia="宋体" w:hAnsi="Cambria" w:cs="Cambria"/>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styleId="TOC1">
    <w:name w:val="toc 1"/>
    <w:basedOn w:val="Normal"/>
    <w:next w:val="Normal"/>
    <w:autoRedefine/>
    <w:uiPriority w:val="99"/>
    <w:semiHidden/>
    <w:rsid w:val="00F4320C"/>
  </w:style>
  <w:style w:type="paragraph" w:styleId="TOC2">
    <w:name w:val="toc 2"/>
    <w:basedOn w:val="Normal"/>
    <w:next w:val="Normal"/>
    <w:autoRedefine/>
    <w:uiPriority w:val="99"/>
    <w:semiHidden/>
    <w:rsid w:val="00F4320C"/>
    <w:pPr>
      <w:ind w:leftChars="200" w:left="420"/>
    </w:pPr>
  </w:style>
  <w:style w:type="character" w:styleId="Hyperlink">
    <w:name w:val="Hyperlink"/>
    <w:basedOn w:val="DefaultParagraphFont"/>
    <w:uiPriority w:val="99"/>
    <w:rsid w:val="00F4320C"/>
    <w:rPr>
      <w:color w:val="0000FF"/>
      <w:u w:val="single"/>
    </w:rPr>
  </w:style>
</w:styles>
</file>

<file path=word/webSettings.xml><?xml version="1.0" encoding="utf-8"?>
<w:webSettings xmlns:r="http://schemas.openxmlformats.org/officeDocument/2006/relationships" xmlns:w="http://schemas.openxmlformats.org/wordprocessingml/2006/main">
  <w:divs>
    <w:div w:id="1138835718">
      <w:marLeft w:val="0"/>
      <w:marRight w:val="0"/>
      <w:marTop w:val="0"/>
      <w:marBottom w:val="0"/>
      <w:divBdr>
        <w:top w:val="none" w:sz="0" w:space="0" w:color="auto"/>
        <w:left w:val="none" w:sz="0" w:space="0" w:color="auto"/>
        <w:bottom w:val="none" w:sz="0" w:space="0" w:color="auto"/>
        <w:right w:val="none" w:sz="0" w:space="0" w:color="auto"/>
      </w:divBdr>
    </w:div>
    <w:div w:id="1138835719">
      <w:marLeft w:val="0"/>
      <w:marRight w:val="0"/>
      <w:marTop w:val="0"/>
      <w:marBottom w:val="0"/>
      <w:divBdr>
        <w:top w:val="none" w:sz="0" w:space="0" w:color="auto"/>
        <w:left w:val="none" w:sz="0" w:space="0" w:color="auto"/>
        <w:bottom w:val="none" w:sz="0" w:space="0" w:color="auto"/>
        <w:right w:val="none" w:sz="0" w:space="0" w:color="auto"/>
      </w:divBdr>
    </w:div>
    <w:div w:id="1138835720">
      <w:marLeft w:val="0"/>
      <w:marRight w:val="0"/>
      <w:marTop w:val="0"/>
      <w:marBottom w:val="0"/>
      <w:divBdr>
        <w:top w:val="none" w:sz="0" w:space="0" w:color="auto"/>
        <w:left w:val="none" w:sz="0" w:space="0" w:color="auto"/>
        <w:bottom w:val="none" w:sz="0" w:space="0" w:color="auto"/>
        <w:right w:val="none" w:sz="0" w:space="0" w:color="auto"/>
      </w:divBdr>
    </w:div>
    <w:div w:id="1138835721">
      <w:marLeft w:val="0"/>
      <w:marRight w:val="0"/>
      <w:marTop w:val="0"/>
      <w:marBottom w:val="0"/>
      <w:divBdr>
        <w:top w:val="none" w:sz="0" w:space="0" w:color="auto"/>
        <w:left w:val="none" w:sz="0" w:space="0" w:color="auto"/>
        <w:bottom w:val="none" w:sz="0" w:space="0" w:color="auto"/>
        <w:right w:val="none" w:sz="0" w:space="0" w:color="auto"/>
      </w:divBdr>
    </w:div>
    <w:div w:id="1138835722">
      <w:marLeft w:val="0"/>
      <w:marRight w:val="0"/>
      <w:marTop w:val="0"/>
      <w:marBottom w:val="0"/>
      <w:divBdr>
        <w:top w:val="none" w:sz="0" w:space="0" w:color="auto"/>
        <w:left w:val="none" w:sz="0" w:space="0" w:color="auto"/>
        <w:bottom w:val="none" w:sz="0" w:space="0" w:color="auto"/>
        <w:right w:val="none" w:sz="0" w:space="0" w:color="auto"/>
      </w:divBdr>
    </w:div>
    <w:div w:id="1138835723">
      <w:marLeft w:val="0"/>
      <w:marRight w:val="0"/>
      <w:marTop w:val="0"/>
      <w:marBottom w:val="0"/>
      <w:divBdr>
        <w:top w:val="none" w:sz="0" w:space="0" w:color="auto"/>
        <w:left w:val="none" w:sz="0" w:space="0" w:color="auto"/>
        <w:bottom w:val="none" w:sz="0" w:space="0" w:color="auto"/>
        <w:right w:val="none" w:sz="0" w:space="0" w:color="auto"/>
      </w:divBdr>
    </w:div>
    <w:div w:id="1138835724">
      <w:marLeft w:val="0"/>
      <w:marRight w:val="0"/>
      <w:marTop w:val="0"/>
      <w:marBottom w:val="0"/>
      <w:divBdr>
        <w:top w:val="none" w:sz="0" w:space="0" w:color="auto"/>
        <w:left w:val="none" w:sz="0" w:space="0" w:color="auto"/>
        <w:bottom w:val="none" w:sz="0" w:space="0" w:color="auto"/>
        <w:right w:val="none" w:sz="0" w:space="0" w:color="auto"/>
      </w:divBdr>
    </w:div>
    <w:div w:id="1138835725">
      <w:marLeft w:val="0"/>
      <w:marRight w:val="0"/>
      <w:marTop w:val="0"/>
      <w:marBottom w:val="0"/>
      <w:divBdr>
        <w:top w:val="none" w:sz="0" w:space="0" w:color="auto"/>
        <w:left w:val="none" w:sz="0" w:space="0" w:color="auto"/>
        <w:bottom w:val="none" w:sz="0" w:space="0" w:color="auto"/>
        <w:right w:val="none" w:sz="0" w:space="0" w:color="auto"/>
      </w:divBdr>
    </w:div>
    <w:div w:id="1138835726">
      <w:marLeft w:val="0"/>
      <w:marRight w:val="0"/>
      <w:marTop w:val="0"/>
      <w:marBottom w:val="0"/>
      <w:divBdr>
        <w:top w:val="none" w:sz="0" w:space="0" w:color="auto"/>
        <w:left w:val="none" w:sz="0" w:space="0" w:color="auto"/>
        <w:bottom w:val="none" w:sz="0" w:space="0" w:color="auto"/>
        <w:right w:val="none" w:sz="0" w:space="0" w:color="auto"/>
      </w:divBdr>
    </w:div>
    <w:div w:id="1138835727">
      <w:marLeft w:val="0"/>
      <w:marRight w:val="0"/>
      <w:marTop w:val="0"/>
      <w:marBottom w:val="0"/>
      <w:divBdr>
        <w:top w:val="none" w:sz="0" w:space="0" w:color="auto"/>
        <w:left w:val="none" w:sz="0" w:space="0" w:color="auto"/>
        <w:bottom w:val="none" w:sz="0" w:space="0" w:color="auto"/>
        <w:right w:val="none" w:sz="0" w:space="0" w:color="auto"/>
      </w:divBdr>
    </w:div>
    <w:div w:id="1138835728">
      <w:marLeft w:val="0"/>
      <w:marRight w:val="0"/>
      <w:marTop w:val="0"/>
      <w:marBottom w:val="0"/>
      <w:divBdr>
        <w:top w:val="none" w:sz="0" w:space="0" w:color="auto"/>
        <w:left w:val="none" w:sz="0" w:space="0" w:color="auto"/>
        <w:bottom w:val="none" w:sz="0" w:space="0" w:color="auto"/>
        <w:right w:val="none" w:sz="0" w:space="0" w:color="auto"/>
      </w:divBdr>
    </w:div>
    <w:div w:id="1138835729">
      <w:marLeft w:val="0"/>
      <w:marRight w:val="0"/>
      <w:marTop w:val="0"/>
      <w:marBottom w:val="0"/>
      <w:divBdr>
        <w:top w:val="none" w:sz="0" w:space="0" w:color="auto"/>
        <w:left w:val="none" w:sz="0" w:space="0" w:color="auto"/>
        <w:bottom w:val="none" w:sz="0" w:space="0" w:color="auto"/>
        <w:right w:val="none" w:sz="0" w:space="0" w:color="auto"/>
      </w:divBdr>
    </w:div>
    <w:div w:id="1138835730">
      <w:marLeft w:val="0"/>
      <w:marRight w:val="0"/>
      <w:marTop w:val="0"/>
      <w:marBottom w:val="0"/>
      <w:divBdr>
        <w:top w:val="none" w:sz="0" w:space="0" w:color="auto"/>
        <w:left w:val="none" w:sz="0" w:space="0" w:color="auto"/>
        <w:bottom w:val="none" w:sz="0" w:space="0" w:color="auto"/>
        <w:right w:val="none" w:sz="0" w:space="0" w:color="auto"/>
      </w:divBdr>
    </w:div>
    <w:div w:id="1138835731">
      <w:marLeft w:val="0"/>
      <w:marRight w:val="0"/>
      <w:marTop w:val="0"/>
      <w:marBottom w:val="0"/>
      <w:divBdr>
        <w:top w:val="none" w:sz="0" w:space="0" w:color="auto"/>
        <w:left w:val="none" w:sz="0" w:space="0" w:color="auto"/>
        <w:bottom w:val="none" w:sz="0" w:space="0" w:color="auto"/>
        <w:right w:val="none" w:sz="0" w:space="0" w:color="auto"/>
      </w:divBdr>
    </w:div>
    <w:div w:id="1138835732">
      <w:marLeft w:val="0"/>
      <w:marRight w:val="0"/>
      <w:marTop w:val="0"/>
      <w:marBottom w:val="0"/>
      <w:divBdr>
        <w:top w:val="none" w:sz="0" w:space="0" w:color="auto"/>
        <w:left w:val="none" w:sz="0" w:space="0" w:color="auto"/>
        <w:bottom w:val="none" w:sz="0" w:space="0" w:color="auto"/>
        <w:right w:val="none" w:sz="0" w:space="0" w:color="auto"/>
      </w:divBdr>
    </w:div>
    <w:div w:id="1138835733">
      <w:marLeft w:val="0"/>
      <w:marRight w:val="0"/>
      <w:marTop w:val="0"/>
      <w:marBottom w:val="0"/>
      <w:divBdr>
        <w:top w:val="none" w:sz="0" w:space="0" w:color="auto"/>
        <w:left w:val="none" w:sz="0" w:space="0" w:color="auto"/>
        <w:bottom w:val="none" w:sz="0" w:space="0" w:color="auto"/>
        <w:right w:val="none" w:sz="0" w:space="0" w:color="auto"/>
      </w:divBdr>
    </w:div>
    <w:div w:id="1138835734">
      <w:marLeft w:val="0"/>
      <w:marRight w:val="0"/>
      <w:marTop w:val="0"/>
      <w:marBottom w:val="0"/>
      <w:divBdr>
        <w:top w:val="none" w:sz="0" w:space="0" w:color="auto"/>
        <w:left w:val="none" w:sz="0" w:space="0" w:color="auto"/>
        <w:bottom w:val="none" w:sz="0" w:space="0" w:color="auto"/>
        <w:right w:val="none" w:sz="0" w:space="0" w:color="auto"/>
      </w:divBdr>
    </w:div>
    <w:div w:id="1138835735">
      <w:marLeft w:val="0"/>
      <w:marRight w:val="0"/>
      <w:marTop w:val="0"/>
      <w:marBottom w:val="0"/>
      <w:divBdr>
        <w:top w:val="none" w:sz="0" w:space="0" w:color="auto"/>
        <w:left w:val="none" w:sz="0" w:space="0" w:color="auto"/>
        <w:bottom w:val="none" w:sz="0" w:space="0" w:color="auto"/>
        <w:right w:val="none" w:sz="0" w:space="0" w:color="auto"/>
      </w:divBdr>
    </w:div>
    <w:div w:id="1138835736">
      <w:marLeft w:val="0"/>
      <w:marRight w:val="0"/>
      <w:marTop w:val="0"/>
      <w:marBottom w:val="0"/>
      <w:divBdr>
        <w:top w:val="none" w:sz="0" w:space="0" w:color="auto"/>
        <w:left w:val="none" w:sz="0" w:space="0" w:color="auto"/>
        <w:bottom w:val="none" w:sz="0" w:space="0" w:color="auto"/>
        <w:right w:val="none" w:sz="0" w:space="0" w:color="auto"/>
      </w:divBdr>
    </w:div>
    <w:div w:id="1138835737">
      <w:marLeft w:val="0"/>
      <w:marRight w:val="0"/>
      <w:marTop w:val="0"/>
      <w:marBottom w:val="0"/>
      <w:divBdr>
        <w:top w:val="none" w:sz="0" w:space="0" w:color="auto"/>
        <w:left w:val="none" w:sz="0" w:space="0" w:color="auto"/>
        <w:bottom w:val="none" w:sz="0" w:space="0" w:color="auto"/>
        <w:right w:val="none" w:sz="0" w:space="0" w:color="auto"/>
      </w:divBdr>
      <w:divsChild>
        <w:div w:id="1138835769">
          <w:marLeft w:val="0"/>
          <w:marRight w:val="0"/>
          <w:marTop w:val="0"/>
          <w:marBottom w:val="0"/>
          <w:divBdr>
            <w:top w:val="none" w:sz="0" w:space="0" w:color="auto"/>
            <w:left w:val="none" w:sz="0" w:space="0" w:color="auto"/>
            <w:bottom w:val="none" w:sz="0" w:space="0" w:color="auto"/>
            <w:right w:val="none" w:sz="0" w:space="0" w:color="auto"/>
          </w:divBdr>
        </w:div>
      </w:divsChild>
    </w:div>
    <w:div w:id="1138835738">
      <w:marLeft w:val="0"/>
      <w:marRight w:val="0"/>
      <w:marTop w:val="0"/>
      <w:marBottom w:val="0"/>
      <w:divBdr>
        <w:top w:val="none" w:sz="0" w:space="0" w:color="auto"/>
        <w:left w:val="none" w:sz="0" w:space="0" w:color="auto"/>
        <w:bottom w:val="none" w:sz="0" w:space="0" w:color="auto"/>
        <w:right w:val="none" w:sz="0" w:space="0" w:color="auto"/>
      </w:divBdr>
    </w:div>
    <w:div w:id="1138835739">
      <w:marLeft w:val="0"/>
      <w:marRight w:val="0"/>
      <w:marTop w:val="0"/>
      <w:marBottom w:val="0"/>
      <w:divBdr>
        <w:top w:val="none" w:sz="0" w:space="0" w:color="auto"/>
        <w:left w:val="none" w:sz="0" w:space="0" w:color="auto"/>
        <w:bottom w:val="none" w:sz="0" w:space="0" w:color="auto"/>
        <w:right w:val="none" w:sz="0" w:space="0" w:color="auto"/>
      </w:divBdr>
    </w:div>
    <w:div w:id="1138835740">
      <w:marLeft w:val="0"/>
      <w:marRight w:val="0"/>
      <w:marTop w:val="0"/>
      <w:marBottom w:val="0"/>
      <w:divBdr>
        <w:top w:val="none" w:sz="0" w:space="0" w:color="auto"/>
        <w:left w:val="none" w:sz="0" w:space="0" w:color="auto"/>
        <w:bottom w:val="none" w:sz="0" w:space="0" w:color="auto"/>
        <w:right w:val="none" w:sz="0" w:space="0" w:color="auto"/>
      </w:divBdr>
    </w:div>
    <w:div w:id="1138835741">
      <w:marLeft w:val="0"/>
      <w:marRight w:val="0"/>
      <w:marTop w:val="0"/>
      <w:marBottom w:val="0"/>
      <w:divBdr>
        <w:top w:val="none" w:sz="0" w:space="0" w:color="auto"/>
        <w:left w:val="none" w:sz="0" w:space="0" w:color="auto"/>
        <w:bottom w:val="none" w:sz="0" w:space="0" w:color="auto"/>
        <w:right w:val="none" w:sz="0" w:space="0" w:color="auto"/>
      </w:divBdr>
    </w:div>
    <w:div w:id="1138835742">
      <w:marLeft w:val="0"/>
      <w:marRight w:val="0"/>
      <w:marTop w:val="0"/>
      <w:marBottom w:val="0"/>
      <w:divBdr>
        <w:top w:val="none" w:sz="0" w:space="0" w:color="auto"/>
        <w:left w:val="none" w:sz="0" w:space="0" w:color="auto"/>
        <w:bottom w:val="none" w:sz="0" w:space="0" w:color="auto"/>
        <w:right w:val="none" w:sz="0" w:space="0" w:color="auto"/>
      </w:divBdr>
    </w:div>
    <w:div w:id="1138835743">
      <w:marLeft w:val="0"/>
      <w:marRight w:val="0"/>
      <w:marTop w:val="0"/>
      <w:marBottom w:val="0"/>
      <w:divBdr>
        <w:top w:val="none" w:sz="0" w:space="0" w:color="auto"/>
        <w:left w:val="none" w:sz="0" w:space="0" w:color="auto"/>
        <w:bottom w:val="none" w:sz="0" w:space="0" w:color="auto"/>
        <w:right w:val="none" w:sz="0" w:space="0" w:color="auto"/>
      </w:divBdr>
    </w:div>
    <w:div w:id="1138835744">
      <w:marLeft w:val="0"/>
      <w:marRight w:val="0"/>
      <w:marTop w:val="0"/>
      <w:marBottom w:val="0"/>
      <w:divBdr>
        <w:top w:val="none" w:sz="0" w:space="0" w:color="auto"/>
        <w:left w:val="none" w:sz="0" w:space="0" w:color="auto"/>
        <w:bottom w:val="none" w:sz="0" w:space="0" w:color="auto"/>
        <w:right w:val="none" w:sz="0" w:space="0" w:color="auto"/>
      </w:divBdr>
    </w:div>
    <w:div w:id="1138835746">
      <w:marLeft w:val="0"/>
      <w:marRight w:val="0"/>
      <w:marTop w:val="0"/>
      <w:marBottom w:val="0"/>
      <w:divBdr>
        <w:top w:val="none" w:sz="0" w:space="0" w:color="auto"/>
        <w:left w:val="none" w:sz="0" w:space="0" w:color="auto"/>
        <w:bottom w:val="none" w:sz="0" w:space="0" w:color="auto"/>
        <w:right w:val="none" w:sz="0" w:space="0" w:color="auto"/>
      </w:divBdr>
    </w:div>
    <w:div w:id="1138835747">
      <w:marLeft w:val="0"/>
      <w:marRight w:val="0"/>
      <w:marTop w:val="0"/>
      <w:marBottom w:val="0"/>
      <w:divBdr>
        <w:top w:val="none" w:sz="0" w:space="0" w:color="auto"/>
        <w:left w:val="none" w:sz="0" w:space="0" w:color="auto"/>
        <w:bottom w:val="none" w:sz="0" w:space="0" w:color="auto"/>
        <w:right w:val="none" w:sz="0" w:space="0" w:color="auto"/>
      </w:divBdr>
    </w:div>
    <w:div w:id="1138835748">
      <w:marLeft w:val="0"/>
      <w:marRight w:val="0"/>
      <w:marTop w:val="0"/>
      <w:marBottom w:val="0"/>
      <w:divBdr>
        <w:top w:val="none" w:sz="0" w:space="0" w:color="auto"/>
        <w:left w:val="none" w:sz="0" w:space="0" w:color="auto"/>
        <w:bottom w:val="none" w:sz="0" w:space="0" w:color="auto"/>
        <w:right w:val="none" w:sz="0" w:space="0" w:color="auto"/>
      </w:divBdr>
    </w:div>
    <w:div w:id="1138835749">
      <w:marLeft w:val="0"/>
      <w:marRight w:val="0"/>
      <w:marTop w:val="0"/>
      <w:marBottom w:val="0"/>
      <w:divBdr>
        <w:top w:val="none" w:sz="0" w:space="0" w:color="auto"/>
        <w:left w:val="none" w:sz="0" w:space="0" w:color="auto"/>
        <w:bottom w:val="none" w:sz="0" w:space="0" w:color="auto"/>
        <w:right w:val="none" w:sz="0" w:space="0" w:color="auto"/>
      </w:divBdr>
    </w:div>
    <w:div w:id="1138835750">
      <w:marLeft w:val="0"/>
      <w:marRight w:val="0"/>
      <w:marTop w:val="0"/>
      <w:marBottom w:val="0"/>
      <w:divBdr>
        <w:top w:val="none" w:sz="0" w:space="0" w:color="auto"/>
        <w:left w:val="none" w:sz="0" w:space="0" w:color="auto"/>
        <w:bottom w:val="none" w:sz="0" w:space="0" w:color="auto"/>
        <w:right w:val="none" w:sz="0" w:space="0" w:color="auto"/>
      </w:divBdr>
    </w:div>
    <w:div w:id="1138835751">
      <w:marLeft w:val="0"/>
      <w:marRight w:val="0"/>
      <w:marTop w:val="0"/>
      <w:marBottom w:val="0"/>
      <w:divBdr>
        <w:top w:val="none" w:sz="0" w:space="0" w:color="auto"/>
        <w:left w:val="none" w:sz="0" w:space="0" w:color="auto"/>
        <w:bottom w:val="none" w:sz="0" w:space="0" w:color="auto"/>
        <w:right w:val="none" w:sz="0" w:space="0" w:color="auto"/>
      </w:divBdr>
      <w:divsChild>
        <w:div w:id="1138835785">
          <w:marLeft w:val="0"/>
          <w:marRight w:val="0"/>
          <w:marTop w:val="0"/>
          <w:marBottom w:val="0"/>
          <w:divBdr>
            <w:top w:val="none" w:sz="0" w:space="0" w:color="auto"/>
            <w:left w:val="none" w:sz="0" w:space="0" w:color="auto"/>
            <w:bottom w:val="none" w:sz="0" w:space="0" w:color="auto"/>
            <w:right w:val="none" w:sz="0" w:space="0" w:color="auto"/>
          </w:divBdr>
        </w:div>
      </w:divsChild>
    </w:div>
    <w:div w:id="1138835752">
      <w:marLeft w:val="0"/>
      <w:marRight w:val="0"/>
      <w:marTop w:val="0"/>
      <w:marBottom w:val="0"/>
      <w:divBdr>
        <w:top w:val="none" w:sz="0" w:space="0" w:color="auto"/>
        <w:left w:val="none" w:sz="0" w:space="0" w:color="auto"/>
        <w:bottom w:val="none" w:sz="0" w:space="0" w:color="auto"/>
        <w:right w:val="none" w:sz="0" w:space="0" w:color="auto"/>
      </w:divBdr>
    </w:div>
    <w:div w:id="1138835753">
      <w:marLeft w:val="0"/>
      <w:marRight w:val="0"/>
      <w:marTop w:val="0"/>
      <w:marBottom w:val="0"/>
      <w:divBdr>
        <w:top w:val="none" w:sz="0" w:space="0" w:color="auto"/>
        <w:left w:val="none" w:sz="0" w:space="0" w:color="auto"/>
        <w:bottom w:val="none" w:sz="0" w:space="0" w:color="auto"/>
        <w:right w:val="none" w:sz="0" w:space="0" w:color="auto"/>
      </w:divBdr>
    </w:div>
    <w:div w:id="1138835754">
      <w:marLeft w:val="0"/>
      <w:marRight w:val="0"/>
      <w:marTop w:val="0"/>
      <w:marBottom w:val="0"/>
      <w:divBdr>
        <w:top w:val="none" w:sz="0" w:space="0" w:color="auto"/>
        <w:left w:val="none" w:sz="0" w:space="0" w:color="auto"/>
        <w:bottom w:val="none" w:sz="0" w:space="0" w:color="auto"/>
        <w:right w:val="none" w:sz="0" w:space="0" w:color="auto"/>
      </w:divBdr>
    </w:div>
    <w:div w:id="1138835755">
      <w:marLeft w:val="0"/>
      <w:marRight w:val="0"/>
      <w:marTop w:val="0"/>
      <w:marBottom w:val="0"/>
      <w:divBdr>
        <w:top w:val="none" w:sz="0" w:space="0" w:color="auto"/>
        <w:left w:val="none" w:sz="0" w:space="0" w:color="auto"/>
        <w:bottom w:val="none" w:sz="0" w:space="0" w:color="auto"/>
        <w:right w:val="none" w:sz="0" w:space="0" w:color="auto"/>
      </w:divBdr>
    </w:div>
    <w:div w:id="1138835756">
      <w:marLeft w:val="0"/>
      <w:marRight w:val="0"/>
      <w:marTop w:val="0"/>
      <w:marBottom w:val="0"/>
      <w:divBdr>
        <w:top w:val="none" w:sz="0" w:space="0" w:color="auto"/>
        <w:left w:val="none" w:sz="0" w:space="0" w:color="auto"/>
        <w:bottom w:val="none" w:sz="0" w:space="0" w:color="auto"/>
        <w:right w:val="none" w:sz="0" w:space="0" w:color="auto"/>
      </w:divBdr>
    </w:div>
    <w:div w:id="1138835757">
      <w:marLeft w:val="0"/>
      <w:marRight w:val="0"/>
      <w:marTop w:val="0"/>
      <w:marBottom w:val="0"/>
      <w:divBdr>
        <w:top w:val="none" w:sz="0" w:space="0" w:color="auto"/>
        <w:left w:val="none" w:sz="0" w:space="0" w:color="auto"/>
        <w:bottom w:val="none" w:sz="0" w:space="0" w:color="auto"/>
        <w:right w:val="none" w:sz="0" w:space="0" w:color="auto"/>
      </w:divBdr>
    </w:div>
    <w:div w:id="1138835758">
      <w:marLeft w:val="0"/>
      <w:marRight w:val="0"/>
      <w:marTop w:val="0"/>
      <w:marBottom w:val="0"/>
      <w:divBdr>
        <w:top w:val="none" w:sz="0" w:space="0" w:color="auto"/>
        <w:left w:val="none" w:sz="0" w:space="0" w:color="auto"/>
        <w:bottom w:val="none" w:sz="0" w:space="0" w:color="auto"/>
        <w:right w:val="none" w:sz="0" w:space="0" w:color="auto"/>
      </w:divBdr>
      <w:divsChild>
        <w:div w:id="1138835745">
          <w:marLeft w:val="0"/>
          <w:marRight w:val="0"/>
          <w:marTop w:val="0"/>
          <w:marBottom w:val="0"/>
          <w:divBdr>
            <w:top w:val="none" w:sz="0" w:space="0" w:color="auto"/>
            <w:left w:val="none" w:sz="0" w:space="0" w:color="auto"/>
            <w:bottom w:val="none" w:sz="0" w:space="0" w:color="auto"/>
            <w:right w:val="none" w:sz="0" w:space="0" w:color="auto"/>
          </w:divBdr>
        </w:div>
      </w:divsChild>
    </w:div>
    <w:div w:id="1138835759">
      <w:marLeft w:val="0"/>
      <w:marRight w:val="0"/>
      <w:marTop w:val="0"/>
      <w:marBottom w:val="0"/>
      <w:divBdr>
        <w:top w:val="none" w:sz="0" w:space="0" w:color="auto"/>
        <w:left w:val="none" w:sz="0" w:space="0" w:color="auto"/>
        <w:bottom w:val="none" w:sz="0" w:space="0" w:color="auto"/>
        <w:right w:val="none" w:sz="0" w:space="0" w:color="auto"/>
      </w:divBdr>
    </w:div>
    <w:div w:id="1138835760">
      <w:marLeft w:val="0"/>
      <w:marRight w:val="0"/>
      <w:marTop w:val="0"/>
      <w:marBottom w:val="0"/>
      <w:divBdr>
        <w:top w:val="none" w:sz="0" w:space="0" w:color="auto"/>
        <w:left w:val="none" w:sz="0" w:space="0" w:color="auto"/>
        <w:bottom w:val="none" w:sz="0" w:space="0" w:color="auto"/>
        <w:right w:val="none" w:sz="0" w:space="0" w:color="auto"/>
      </w:divBdr>
    </w:div>
    <w:div w:id="1138835761">
      <w:marLeft w:val="0"/>
      <w:marRight w:val="0"/>
      <w:marTop w:val="0"/>
      <w:marBottom w:val="0"/>
      <w:divBdr>
        <w:top w:val="none" w:sz="0" w:space="0" w:color="auto"/>
        <w:left w:val="none" w:sz="0" w:space="0" w:color="auto"/>
        <w:bottom w:val="none" w:sz="0" w:space="0" w:color="auto"/>
        <w:right w:val="none" w:sz="0" w:space="0" w:color="auto"/>
      </w:divBdr>
    </w:div>
    <w:div w:id="1138835762">
      <w:marLeft w:val="0"/>
      <w:marRight w:val="0"/>
      <w:marTop w:val="0"/>
      <w:marBottom w:val="0"/>
      <w:divBdr>
        <w:top w:val="none" w:sz="0" w:space="0" w:color="auto"/>
        <w:left w:val="none" w:sz="0" w:space="0" w:color="auto"/>
        <w:bottom w:val="none" w:sz="0" w:space="0" w:color="auto"/>
        <w:right w:val="none" w:sz="0" w:space="0" w:color="auto"/>
      </w:divBdr>
    </w:div>
    <w:div w:id="1138835763">
      <w:marLeft w:val="0"/>
      <w:marRight w:val="0"/>
      <w:marTop w:val="0"/>
      <w:marBottom w:val="0"/>
      <w:divBdr>
        <w:top w:val="none" w:sz="0" w:space="0" w:color="auto"/>
        <w:left w:val="none" w:sz="0" w:space="0" w:color="auto"/>
        <w:bottom w:val="none" w:sz="0" w:space="0" w:color="auto"/>
        <w:right w:val="none" w:sz="0" w:space="0" w:color="auto"/>
      </w:divBdr>
    </w:div>
    <w:div w:id="1138835764">
      <w:marLeft w:val="0"/>
      <w:marRight w:val="0"/>
      <w:marTop w:val="0"/>
      <w:marBottom w:val="0"/>
      <w:divBdr>
        <w:top w:val="none" w:sz="0" w:space="0" w:color="auto"/>
        <w:left w:val="none" w:sz="0" w:space="0" w:color="auto"/>
        <w:bottom w:val="none" w:sz="0" w:space="0" w:color="auto"/>
        <w:right w:val="none" w:sz="0" w:space="0" w:color="auto"/>
      </w:divBdr>
    </w:div>
    <w:div w:id="1138835765">
      <w:marLeft w:val="0"/>
      <w:marRight w:val="0"/>
      <w:marTop w:val="0"/>
      <w:marBottom w:val="0"/>
      <w:divBdr>
        <w:top w:val="none" w:sz="0" w:space="0" w:color="auto"/>
        <w:left w:val="none" w:sz="0" w:space="0" w:color="auto"/>
        <w:bottom w:val="none" w:sz="0" w:space="0" w:color="auto"/>
        <w:right w:val="none" w:sz="0" w:space="0" w:color="auto"/>
      </w:divBdr>
    </w:div>
    <w:div w:id="1138835766">
      <w:marLeft w:val="0"/>
      <w:marRight w:val="0"/>
      <w:marTop w:val="0"/>
      <w:marBottom w:val="0"/>
      <w:divBdr>
        <w:top w:val="none" w:sz="0" w:space="0" w:color="auto"/>
        <w:left w:val="none" w:sz="0" w:space="0" w:color="auto"/>
        <w:bottom w:val="none" w:sz="0" w:space="0" w:color="auto"/>
        <w:right w:val="none" w:sz="0" w:space="0" w:color="auto"/>
      </w:divBdr>
    </w:div>
    <w:div w:id="1138835767">
      <w:marLeft w:val="0"/>
      <w:marRight w:val="0"/>
      <w:marTop w:val="0"/>
      <w:marBottom w:val="0"/>
      <w:divBdr>
        <w:top w:val="none" w:sz="0" w:space="0" w:color="auto"/>
        <w:left w:val="none" w:sz="0" w:space="0" w:color="auto"/>
        <w:bottom w:val="none" w:sz="0" w:space="0" w:color="auto"/>
        <w:right w:val="none" w:sz="0" w:space="0" w:color="auto"/>
      </w:divBdr>
    </w:div>
    <w:div w:id="1138835770">
      <w:marLeft w:val="0"/>
      <w:marRight w:val="0"/>
      <w:marTop w:val="0"/>
      <w:marBottom w:val="0"/>
      <w:divBdr>
        <w:top w:val="none" w:sz="0" w:space="0" w:color="auto"/>
        <w:left w:val="none" w:sz="0" w:space="0" w:color="auto"/>
        <w:bottom w:val="none" w:sz="0" w:space="0" w:color="auto"/>
        <w:right w:val="none" w:sz="0" w:space="0" w:color="auto"/>
      </w:divBdr>
      <w:divsChild>
        <w:div w:id="1138835768">
          <w:marLeft w:val="0"/>
          <w:marRight w:val="0"/>
          <w:marTop w:val="0"/>
          <w:marBottom w:val="0"/>
          <w:divBdr>
            <w:top w:val="none" w:sz="0" w:space="0" w:color="auto"/>
            <w:left w:val="none" w:sz="0" w:space="0" w:color="auto"/>
            <w:bottom w:val="none" w:sz="0" w:space="0" w:color="auto"/>
            <w:right w:val="none" w:sz="0" w:space="0" w:color="auto"/>
          </w:divBdr>
        </w:div>
      </w:divsChild>
    </w:div>
    <w:div w:id="1138835771">
      <w:marLeft w:val="0"/>
      <w:marRight w:val="0"/>
      <w:marTop w:val="0"/>
      <w:marBottom w:val="0"/>
      <w:divBdr>
        <w:top w:val="none" w:sz="0" w:space="0" w:color="auto"/>
        <w:left w:val="none" w:sz="0" w:space="0" w:color="auto"/>
        <w:bottom w:val="none" w:sz="0" w:space="0" w:color="auto"/>
        <w:right w:val="none" w:sz="0" w:space="0" w:color="auto"/>
      </w:divBdr>
    </w:div>
    <w:div w:id="1138835772">
      <w:marLeft w:val="0"/>
      <w:marRight w:val="0"/>
      <w:marTop w:val="0"/>
      <w:marBottom w:val="0"/>
      <w:divBdr>
        <w:top w:val="none" w:sz="0" w:space="0" w:color="auto"/>
        <w:left w:val="none" w:sz="0" w:space="0" w:color="auto"/>
        <w:bottom w:val="none" w:sz="0" w:space="0" w:color="auto"/>
        <w:right w:val="none" w:sz="0" w:space="0" w:color="auto"/>
      </w:divBdr>
    </w:div>
    <w:div w:id="1138835773">
      <w:marLeft w:val="0"/>
      <w:marRight w:val="0"/>
      <w:marTop w:val="0"/>
      <w:marBottom w:val="0"/>
      <w:divBdr>
        <w:top w:val="none" w:sz="0" w:space="0" w:color="auto"/>
        <w:left w:val="none" w:sz="0" w:space="0" w:color="auto"/>
        <w:bottom w:val="none" w:sz="0" w:space="0" w:color="auto"/>
        <w:right w:val="none" w:sz="0" w:space="0" w:color="auto"/>
      </w:divBdr>
    </w:div>
    <w:div w:id="1138835774">
      <w:marLeft w:val="0"/>
      <w:marRight w:val="0"/>
      <w:marTop w:val="0"/>
      <w:marBottom w:val="0"/>
      <w:divBdr>
        <w:top w:val="none" w:sz="0" w:space="0" w:color="auto"/>
        <w:left w:val="none" w:sz="0" w:space="0" w:color="auto"/>
        <w:bottom w:val="none" w:sz="0" w:space="0" w:color="auto"/>
        <w:right w:val="none" w:sz="0" w:space="0" w:color="auto"/>
      </w:divBdr>
    </w:div>
    <w:div w:id="1138835775">
      <w:marLeft w:val="0"/>
      <w:marRight w:val="0"/>
      <w:marTop w:val="0"/>
      <w:marBottom w:val="0"/>
      <w:divBdr>
        <w:top w:val="none" w:sz="0" w:space="0" w:color="auto"/>
        <w:left w:val="none" w:sz="0" w:space="0" w:color="auto"/>
        <w:bottom w:val="none" w:sz="0" w:space="0" w:color="auto"/>
        <w:right w:val="none" w:sz="0" w:space="0" w:color="auto"/>
      </w:divBdr>
    </w:div>
    <w:div w:id="1138835776">
      <w:marLeft w:val="0"/>
      <w:marRight w:val="0"/>
      <w:marTop w:val="0"/>
      <w:marBottom w:val="0"/>
      <w:divBdr>
        <w:top w:val="none" w:sz="0" w:space="0" w:color="auto"/>
        <w:left w:val="none" w:sz="0" w:space="0" w:color="auto"/>
        <w:bottom w:val="none" w:sz="0" w:space="0" w:color="auto"/>
        <w:right w:val="none" w:sz="0" w:space="0" w:color="auto"/>
      </w:divBdr>
    </w:div>
    <w:div w:id="1138835777">
      <w:marLeft w:val="0"/>
      <w:marRight w:val="0"/>
      <w:marTop w:val="0"/>
      <w:marBottom w:val="0"/>
      <w:divBdr>
        <w:top w:val="none" w:sz="0" w:space="0" w:color="auto"/>
        <w:left w:val="none" w:sz="0" w:space="0" w:color="auto"/>
        <w:bottom w:val="none" w:sz="0" w:space="0" w:color="auto"/>
        <w:right w:val="none" w:sz="0" w:space="0" w:color="auto"/>
      </w:divBdr>
    </w:div>
    <w:div w:id="1138835778">
      <w:marLeft w:val="0"/>
      <w:marRight w:val="0"/>
      <w:marTop w:val="0"/>
      <w:marBottom w:val="0"/>
      <w:divBdr>
        <w:top w:val="none" w:sz="0" w:space="0" w:color="auto"/>
        <w:left w:val="none" w:sz="0" w:space="0" w:color="auto"/>
        <w:bottom w:val="none" w:sz="0" w:space="0" w:color="auto"/>
        <w:right w:val="none" w:sz="0" w:space="0" w:color="auto"/>
      </w:divBdr>
    </w:div>
    <w:div w:id="1138835779">
      <w:marLeft w:val="0"/>
      <w:marRight w:val="0"/>
      <w:marTop w:val="0"/>
      <w:marBottom w:val="0"/>
      <w:divBdr>
        <w:top w:val="none" w:sz="0" w:space="0" w:color="auto"/>
        <w:left w:val="none" w:sz="0" w:space="0" w:color="auto"/>
        <w:bottom w:val="none" w:sz="0" w:space="0" w:color="auto"/>
        <w:right w:val="none" w:sz="0" w:space="0" w:color="auto"/>
      </w:divBdr>
    </w:div>
    <w:div w:id="1138835780">
      <w:marLeft w:val="0"/>
      <w:marRight w:val="0"/>
      <w:marTop w:val="0"/>
      <w:marBottom w:val="0"/>
      <w:divBdr>
        <w:top w:val="none" w:sz="0" w:space="0" w:color="auto"/>
        <w:left w:val="none" w:sz="0" w:space="0" w:color="auto"/>
        <w:bottom w:val="none" w:sz="0" w:space="0" w:color="auto"/>
        <w:right w:val="none" w:sz="0" w:space="0" w:color="auto"/>
      </w:divBdr>
    </w:div>
    <w:div w:id="1138835781">
      <w:marLeft w:val="0"/>
      <w:marRight w:val="0"/>
      <w:marTop w:val="0"/>
      <w:marBottom w:val="0"/>
      <w:divBdr>
        <w:top w:val="none" w:sz="0" w:space="0" w:color="auto"/>
        <w:left w:val="none" w:sz="0" w:space="0" w:color="auto"/>
        <w:bottom w:val="none" w:sz="0" w:space="0" w:color="auto"/>
        <w:right w:val="none" w:sz="0" w:space="0" w:color="auto"/>
      </w:divBdr>
    </w:div>
    <w:div w:id="1138835782">
      <w:marLeft w:val="0"/>
      <w:marRight w:val="0"/>
      <w:marTop w:val="0"/>
      <w:marBottom w:val="0"/>
      <w:divBdr>
        <w:top w:val="none" w:sz="0" w:space="0" w:color="auto"/>
        <w:left w:val="none" w:sz="0" w:space="0" w:color="auto"/>
        <w:bottom w:val="none" w:sz="0" w:space="0" w:color="auto"/>
        <w:right w:val="none" w:sz="0" w:space="0" w:color="auto"/>
      </w:divBdr>
    </w:div>
    <w:div w:id="1138835783">
      <w:marLeft w:val="0"/>
      <w:marRight w:val="0"/>
      <w:marTop w:val="0"/>
      <w:marBottom w:val="0"/>
      <w:divBdr>
        <w:top w:val="none" w:sz="0" w:space="0" w:color="auto"/>
        <w:left w:val="none" w:sz="0" w:space="0" w:color="auto"/>
        <w:bottom w:val="none" w:sz="0" w:space="0" w:color="auto"/>
        <w:right w:val="none" w:sz="0" w:space="0" w:color="auto"/>
      </w:divBdr>
    </w:div>
    <w:div w:id="1138835784">
      <w:marLeft w:val="0"/>
      <w:marRight w:val="0"/>
      <w:marTop w:val="0"/>
      <w:marBottom w:val="0"/>
      <w:divBdr>
        <w:top w:val="none" w:sz="0" w:space="0" w:color="auto"/>
        <w:left w:val="none" w:sz="0" w:space="0" w:color="auto"/>
        <w:bottom w:val="none" w:sz="0" w:space="0" w:color="auto"/>
        <w:right w:val="none" w:sz="0" w:space="0" w:color="auto"/>
      </w:divBdr>
    </w:div>
    <w:div w:id="1138835786">
      <w:marLeft w:val="0"/>
      <w:marRight w:val="0"/>
      <w:marTop w:val="0"/>
      <w:marBottom w:val="0"/>
      <w:divBdr>
        <w:top w:val="none" w:sz="0" w:space="0" w:color="auto"/>
        <w:left w:val="none" w:sz="0" w:space="0" w:color="auto"/>
        <w:bottom w:val="none" w:sz="0" w:space="0" w:color="auto"/>
        <w:right w:val="none" w:sz="0" w:space="0" w:color="auto"/>
      </w:divBdr>
    </w:div>
    <w:div w:id="1138835787">
      <w:marLeft w:val="0"/>
      <w:marRight w:val="0"/>
      <w:marTop w:val="0"/>
      <w:marBottom w:val="0"/>
      <w:divBdr>
        <w:top w:val="none" w:sz="0" w:space="0" w:color="auto"/>
        <w:left w:val="none" w:sz="0" w:space="0" w:color="auto"/>
        <w:bottom w:val="none" w:sz="0" w:space="0" w:color="auto"/>
        <w:right w:val="none" w:sz="0" w:space="0" w:color="auto"/>
      </w:divBdr>
    </w:div>
    <w:div w:id="1138835788">
      <w:marLeft w:val="0"/>
      <w:marRight w:val="0"/>
      <w:marTop w:val="0"/>
      <w:marBottom w:val="0"/>
      <w:divBdr>
        <w:top w:val="none" w:sz="0" w:space="0" w:color="auto"/>
        <w:left w:val="none" w:sz="0" w:space="0" w:color="auto"/>
        <w:bottom w:val="none" w:sz="0" w:space="0" w:color="auto"/>
        <w:right w:val="none" w:sz="0" w:space="0" w:color="auto"/>
      </w:divBdr>
    </w:div>
    <w:div w:id="1138835789">
      <w:marLeft w:val="0"/>
      <w:marRight w:val="0"/>
      <w:marTop w:val="0"/>
      <w:marBottom w:val="0"/>
      <w:divBdr>
        <w:top w:val="none" w:sz="0" w:space="0" w:color="auto"/>
        <w:left w:val="none" w:sz="0" w:space="0" w:color="auto"/>
        <w:bottom w:val="none" w:sz="0" w:space="0" w:color="auto"/>
        <w:right w:val="none" w:sz="0" w:space="0" w:color="auto"/>
      </w:divBdr>
    </w:div>
    <w:div w:id="1138835790">
      <w:marLeft w:val="0"/>
      <w:marRight w:val="0"/>
      <w:marTop w:val="0"/>
      <w:marBottom w:val="0"/>
      <w:divBdr>
        <w:top w:val="none" w:sz="0" w:space="0" w:color="auto"/>
        <w:left w:val="none" w:sz="0" w:space="0" w:color="auto"/>
        <w:bottom w:val="none" w:sz="0" w:space="0" w:color="auto"/>
        <w:right w:val="none" w:sz="0" w:space="0" w:color="auto"/>
      </w:divBdr>
    </w:div>
    <w:div w:id="1138835791">
      <w:marLeft w:val="0"/>
      <w:marRight w:val="0"/>
      <w:marTop w:val="0"/>
      <w:marBottom w:val="0"/>
      <w:divBdr>
        <w:top w:val="none" w:sz="0" w:space="0" w:color="auto"/>
        <w:left w:val="none" w:sz="0" w:space="0" w:color="auto"/>
        <w:bottom w:val="none" w:sz="0" w:space="0" w:color="auto"/>
        <w:right w:val="none" w:sz="0" w:space="0" w:color="auto"/>
      </w:divBdr>
    </w:div>
    <w:div w:id="11388357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36</TotalTime>
  <Pages>12</Pages>
  <Words>1210</Words>
  <Characters>6900</Characters>
  <Application>Microsoft Office Outlook</Application>
  <DocSecurity>0</DocSecurity>
  <Lines>0</Lines>
  <Paragraphs>0</Paragraphs>
  <ScaleCrop>false</ScaleCrop>
  <Company>Sinosound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dc:creator>
  <cp:keywords/>
  <dc:description/>
  <cp:lastModifiedBy>admin</cp:lastModifiedBy>
  <cp:revision>11</cp:revision>
  <cp:lastPrinted>2012-05-17T01:22:00Z</cp:lastPrinted>
  <dcterms:created xsi:type="dcterms:W3CDTF">2013-10-16T02:06:00Z</dcterms:created>
  <dcterms:modified xsi:type="dcterms:W3CDTF">2014-04-14T07:09:00Z</dcterms:modified>
</cp:coreProperties>
</file>