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43" w:rsidRDefault="00DA0843" w:rsidP="008D4B5F">
      <w:pPr>
        <w:spacing w:beforeLines="50" w:after="240"/>
        <w:jc w:val="center"/>
        <w:rPr>
          <w:rFonts w:ascii="Arial" w:eastAsia="楷体_GB2312" w:hAnsi="Arial" w:cs="Times New Roman"/>
          <w:b/>
          <w:bCs/>
          <w:sz w:val="28"/>
          <w:szCs w:val="28"/>
        </w:rPr>
      </w:pPr>
      <w:r w:rsidRPr="009E4CB1">
        <w:rPr>
          <w:rFonts w:ascii="Arial" w:eastAsia="楷体_GB2312" w:hAnsi="Arial" w:cs="楷体_GB2312" w:hint="eastAsia"/>
          <w:b/>
          <w:bCs/>
          <w:sz w:val="28"/>
          <w:szCs w:val="28"/>
        </w:rPr>
        <w:t>江苏上市公司高管薪酬</w:t>
      </w:r>
      <w:r>
        <w:rPr>
          <w:rFonts w:ascii="Arial" w:eastAsia="楷体_GB2312" w:hAnsi="Arial" w:cs="楷体_GB2312" w:hint="eastAsia"/>
          <w:b/>
          <w:bCs/>
          <w:sz w:val="28"/>
          <w:szCs w:val="28"/>
        </w:rPr>
        <w:t>报告</w:t>
      </w:r>
    </w:p>
    <w:p w:rsidR="00DA0843" w:rsidRPr="009E4CB1" w:rsidRDefault="00DA0843" w:rsidP="008D4B5F">
      <w:pPr>
        <w:spacing w:beforeLines="50" w:after="240"/>
        <w:jc w:val="center"/>
        <w:rPr>
          <w:rFonts w:ascii="Arial" w:eastAsia="楷体_GB2312" w:hAnsi="Arial" w:cs="Times New Roman"/>
          <w:b/>
          <w:bCs/>
          <w:sz w:val="28"/>
          <w:szCs w:val="28"/>
        </w:rPr>
      </w:pPr>
      <w:r w:rsidRPr="009E4CB1">
        <w:rPr>
          <w:rFonts w:ascii="Arial" w:eastAsia="楷体_GB2312" w:hAnsi="Arial" w:cs="楷体_GB2312" w:hint="eastAsia"/>
          <w:b/>
          <w:bCs/>
          <w:sz w:val="28"/>
          <w:szCs w:val="28"/>
        </w:rPr>
        <w:t>激励程度整体偏低，股权激励将是薪酬改革重要突破口</w:t>
      </w:r>
    </w:p>
    <w:p w:rsidR="00DA0843" w:rsidRDefault="00DA0843" w:rsidP="008D4B5F">
      <w:pPr>
        <w:spacing w:beforeLines="50"/>
        <w:rPr>
          <w:rFonts w:ascii="Arial" w:eastAsia="楷体_GB2312" w:hAnsi="Arial" w:cs="Times New Roman"/>
          <w:b/>
          <w:bCs/>
        </w:rPr>
      </w:pPr>
      <w:bookmarkStart w:id="0" w:name="_Toc332381623"/>
    </w:p>
    <w:p w:rsidR="00DA0843" w:rsidRDefault="00DA0843" w:rsidP="00CD4E43">
      <w:pPr>
        <w:spacing w:beforeLines="50"/>
        <w:ind w:firstLineChars="200" w:firstLine="31680"/>
        <w:rPr>
          <w:rFonts w:ascii="Arial" w:eastAsia="楷体_GB2312" w:hAnsi="Arial" w:cs="Times New Roman"/>
        </w:rPr>
      </w:pPr>
      <w:r>
        <w:rPr>
          <w:rFonts w:ascii="Arial" w:eastAsia="楷体_GB2312" w:hAnsi="Arial" w:cs="楷体_GB2312" w:hint="eastAsia"/>
        </w:rPr>
        <w:t>领航人才和</w:t>
      </w:r>
      <w:r w:rsidRPr="00C930CD">
        <w:rPr>
          <w:rFonts w:ascii="Arial" w:eastAsia="楷体_GB2312" w:hAnsi="Arial" w:cs="楷体_GB2312" w:hint="eastAsia"/>
        </w:rPr>
        <w:t>尚道</w:t>
      </w:r>
      <w:r>
        <w:rPr>
          <w:rFonts w:ascii="Arial" w:eastAsia="楷体_GB2312" w:hAnsi="Arial" w:cs="楷体_GB2312" w:hint="eastAsia"/>
        </w:rPr>
        <w:t>联合咨询中心</w:t>
      </w:r>
      <w:r w:rsidRPr="00C930CD">
        <w:rPr>
          <w:rFonts w:ascii="Arial" w:eastAsia="楷体_GB2312" w:hAnsi="Arial" w:cs="楷体_GB2312" w:hint="eastAsia"/>
        </w:rPr>
        <w:t>长期以来始终关注中国上市公司高管薪酬的市场实践，对上市公司高管薪酬有着深厚的研究基础。</w:t>
      </w:r>
      <w:r w:rsidRPr="004B507B">
        <w:rPr>
          <w:rFonts w:ascii="Arial" w:eastAsia="楷体_GB2312" w:hAnsi="Arial" w:cs="楷体_GB2312" w:hint="eastAsia"/>
        </w:rPr>
        <w:t>从</w:t>
      </w:r>
      <w:r w:rsidRPr="004B507B">
        <w:rPr>
          <w:rFonts w:ascii="Arial" w:eastAsia="楷体_GB2312" w:hAnsi="Arial" w:cs="Arial"/>
        </w:rPr>
        <w:t>2006</w:t>
      </w:r>
      <w:r w:rsidRPr="004B507B">
        <w:rPr>
          <w:rFonts w:ascii="Arial" w:eastAsia="楷体_GB2312" w:hAnsi="Arial" w:cs="楷体_GB2312" w:hint="eastAsia"/>
        </w:rPr>
        <w:t>至</w:t>
      </w:r>
      <w:r w:rsidRPr="004B507B">
        <w:rPr>
          <w:rFonts w:ascii="Arial" w:eastAsia="楷体_GB2312" w:hAnsi="Arial" w:cs="Arial"/>
        </w:rPr>
        <w:t>2012</w:t>
      </w:r>
      <w:r w:rsidRPr="004B507B">
        <w:rPr>
          <w:rFonts w:ascii="Arial" w:eastAsia="楷体_GB2312" w:hAnsi="Arial" w:cs="楷体_GB2312" w:hint="eastAsia"/>
        </w:rPr>
        <w:t>年，</w:t>
      </w:r>
      <w:r>
        <w:rPr>
          <w:rFonts w:ascii="Arial" w:eastAsia="楷体_GB2312" w:hAnsi="Arial" w:cs="楷体_GB2312" w:hint="eastAsia"/>
        </w:rPr>
        <w:t>联合咨询中心</w:t>
      </w:r>
      <w:r w:rsidRPr="004B507B">
        <w:rPr>
          <w:rFonts w:ascii="Arial" w:eastAsia="楷体_GB2312" w:hAnsi="Arial" w:cs="楷体_GB2312" w:hint="eastAsia"/>
        </w:rPr>
        <w:t>收集并分析了长达七年高管薪酬数据，</w:t>
      </w:r>
      <w:r>
        <w:rPr>
          <w:rFonts w:ascii="Arial" w:eastAsia="楷体_GB2312" w:hAnsi="Arial" w:cs="楷体_GB2312" w:hint="eastAsia"/>
        </w:rPr>
        <w:t>通过深入的研究</w:t>
      </w:r>
      <w:r w:rsidRPr="004B507B">
        <w:rPr>
          <w:rFonts w:ascii="Arial" w:eastAsia="楷体_GB2312" w:hAnsi="Arial" w:cs="楷体_GB2312" w:hint="eastAsia"/>
        </w:rPr>
        <w:t>发现了影响当前上市公司高管薪酬的五大因素，</w:t>
      </w:r>
      <w:r>
        <w:rPr>
          <w:rFonts w:ascii="Arial" w:eastAsia="楷体_GB2312" w:hAnsi="Arial" w:cs="楷体_GB2312" w:hint="eastAsia"/>
        </w:rPr>
        <w:t>建立了上市公司高管薪酬水平市场标杆模型。</w:t>
      </w:r>
    </w:p>
    <w:p w:rsidR="00DA0843" w:rsidRDefault="00DA0843" w:rsidP="00370B4F">
      <w:pPr>
        <w:spacing w:beforeLines="50"/>
        <w:ind w:firstLineChars="200" w:firstLine="31680"/>
        <w:rPr>
          <w:rFonts w:ascii="Arial" w:eastAsia="楷体_GB2312" w:hAnsi="Arial" w:cs="Times New Roman"/>
        </w:rPr>
      </w:pPr>
      <w:r>
        <w:rPr>
          <w:rFonts w:ascii="Arial" w:eastAsia="楷体_GB2312" w:hAnsi="Arial" w:cs="Arial"/>
        </w:rPr>
        <w:t>2012</w:t>
      </w:r>
      <w:r>
        <w:rPr>
          <w:rFonts w:ascii="Arial" w:eastAsia="楷体_GB2312" w:hAnsi="Arial" w:cs="楷体_GB2312" w:hint="eastAsia"/>
        </w:rPr>
        <w:t>年，联合咨询中心继续对上市公司高管薪酬进行分析和研究，推出了江苏省上市公司高管薪酬研究报告</w:t>
      </w:r>
      <w:r w:rsidRPr="004B507B">
        <w:rPr>
          <w:rFonts w:ascii="Arial" w:eastAsia="楷体_GB2312" w:hAnsi="Arial" w:cs="楷体_GB2312" w:hint="eastAsia"/>
        </w:rPr>
        <w:t>。</w:t>
      </w:r>
      <w:r w:rsidRPr="00C930CD">
        <w:rPr>
          <w:rFonts w:ascii="Arial" w:eastAsia="楷体_GB2312" w:hAnsi="Arial" w:cs="楷体_GB2312" w:hint="eastAsia"/>
        </w:rPr>
        <w:t>报告内容涵盖</w:t>
      </w:r>
      <w:r>
        <w:rPr>
          <w:rFonts w:ascii="Arial" w:eastAsia="楷体_GB2312" w:hAnsi="Arial" w:cs="楷体_GB2312" w:hint="eastAsia"/>
        </w:rPr>
        <w:t>江苏省</w:t>
      </w:r>
      <w:r w:rsidRPr="00C930CD">
        <w:rPr>
          <w:rFonts w:ascii="Arial" w:eastAsia="楷体_GB2312" w:hAnsi="Arial" w:cs="楷体_GB2312" w:hint="eastAsia"/>
        </w:rPr>
        <w:t>上市公司情况、上市公司高管薪酬</w:t>
      </w:r>
      <w:r>
        <w:rPr>
          <w:rStyle w:val="FootnoteReference"/>
          <w:rFonts w:ascii="Arial" w:eastAsia="楷体_GB2312" w:hAnsi="Arial" w:cs="Times New Roman"/>
        </w:rPr>
        <w:footnoteReference w:id="1"/>
      </w:r>
      <w:r w:rsidRPr="00C930CD">
        <w:rPr>
          <w:rFonts w:ascii="Arial" w:eastAsia="楷体_GB2312" w:hAnsi="Arial" w:cs="楷体_GB2312" w:hint="eastAsia"/>
        </w:rPr>
        <w:t>情况以及所处市场的经济发展状况。报告详细分析</w:t>
      </w:r>
      <w:r>
        <w:rPr>
          <w:rFonts w:ascii="Arial" w:eastAsia="楷体_GB2312" w:hAnsi="Arial" w:cs="楷体_GB2312" w:hint="eastAsia"/>
        </w:rPr>
        <w:t>江苏地区</w:t>
      </w:r>
      <w:r w:rsidRPr="00C930CD">
        <w:rPr>
          <w:rFonts w:ascii="Arial" w:eastAsia="楷体_GB2312" w:hAnsi="Arial" w:cs="楷体_GB2312" w:hint="eastAsia"/>
        </w:rPr>
        <w:t>市场高管薪酬的分位值、平均值、离散度等分布情况，研究比对不同市场高管薪酬结构和比例，深度探讨高管薪酬与经营业绩、公司规模等因素的相关性，并利用</w:t>
      </w:r>
      <w:r>
        <w:rPr>
          <w:rFonts w:ascii="Arial" w:eastAsia="楷体_GB2312" w:hAnsi="Arial" w:cs="楷体_GB2312" w:hint="eastAsia"/>
        </w:rPr>
        <w:t>联合咨询中心</w:t>
      </w:r>
      <w:r w:rsidRPr="00C930CD">
        <w:rPr>
          <w:rFonts w:ascii="Arial" w:eastAsia="楷体_GB2312" w:hAnsi="Arial" w:cs="楷体_GB2312" w:hint="eastAsia"/>
        </w:rPr>
        <w:t>上市公司高管薪酬分析工具评价</w:t>
      </w:r>
      <w:r>
        <w:rPr>
          <w:rFonts w:ascii="Arial" w:eastAsia="楷体_GB2312" w:hAnsi="Arial" w:cs="楷体_GB2312" w:hint="eastAsia"/>
        </w:rPr>
        <w:t>江苏地区</w:t>
      </w:r>
      <w:r w:rsidRPr="00C930CD">
        <w:rPr>
          <w:rFonts w:ascii="Arial" w:eastAsia="楷体_GB2312" w:hAnsi="Arial" w:cs="楷体_GB2312" w:hint="eastAsia"/>
        </w:rPr>
        <w:t>高管薪酬的市场合理性，最终对</w:t>
      </w:r>
      <w:r>
        <w:rPr>
          <w:rFonts w:ascii="Arial" w:eastAsia="楷体_GB2312" w:hAnsi="Arial" w:cs="楷体_GB2312" w:hint="eastAsia"/>
        </w:rPr>
        <w:t>江苏地区</w:t>
      </w:r>
      <w:r w:rsidRPr="00C930CD">
        <w:rPr>
          <w:rFonts w:ascii="Arial" w:eastAsia="楷体_GB2312" w:hAnsi="Arial" w:cs="楷体_GB2312" w:hint="eastAsia"/>
        </w:rPr>
        <w:t>高管薪酬管理</w:t>
      </w:r>
      <w:r>
        <w:rPr>
          <w:rFonts w:ascii="Arial" w:eastAsia="楷体_GB2312" w:hAnsi="Arial" w:cs="楷体_GB2312" w:hint="eastAsia"/>
        </w:rPr>
        <w:t>提出</w:t>
      </w:r>
      <w:r w:rsidRPr="00C930CD">
        <w:rPr>
          <w:rFonts w:ascii="Arial" w:eastAsia="楷体_GB2312" w:hAnsi="Arial" w:cs="楷体_GB2312" w:hint="eastAsia"/>
        </w:rPr>
        <w:t>合适的建议。</w:t>
      </w:r>
    </w:p>
    <w:p w:rsidR="00DA0843" w:rsidRPr="00FE64E1" w:rsidRDefault="00DA0843" w:rsidP="008D4B5F">
      <w:pPr>
        <w:spacing w:beforeLines="50" w:line="276" w:lineRule="auto"/>
        <w:outlineLvl w:val="0"/>
        <w:rPr>
          <w:rFonts w:ascii="Arial" w:eastAsia="楷体_GB2312" w:hAnsi="Arial" w:cs="Times New Roman"/>
          <w:b/>
          <w:bCs/>
          <w:sz w:val="24"/>
          <w:szCs w:val="24"/>
        </w:rPr>
      </w:pPr>
      <w:r>
        <w:rPr>
          <w:rFonts w:ascii="Arial" w:eastAsia="楷体_GB2312" w:hAnsi="Arial" w:cs="楷体_GB2312" w:hint="eastAsia"/>
          <w:b/>
          <w:bCs/>
          <w:sz w:val="24"/>
          <w:szCs w:val="24"/>
        </w:rPr>
        <w:t>江苏地区经济发展及上市公司</w:t>
      </w:r>
      <w:r w:rsidRPr="00FE64E1">
        <w:rPr>
          <w:rFonts w:ascii="Arial" w:eastAsia="楷体_GB2312" w:hAnsi="Arial" w:cs="楷体_GB2312" w:hint="eastAsia"/>
          <w:b/>
          <w:bCs/>
          <w:sz w:val="24"/>
          <w:szCs w:val="24"/>
        </w:rPr>
        <w:t>基本情况</w:t>
      </w:r>
    </w:p>
    <w:p w:rsidR="00DA0843" w:rsidRDefault="00DA0843" w:rsidP="008D4B5F">
      <w:pPr>
        <w:spacing w:beforeLines="50"/>
        <w:outlineLvl w:val="1"/>
        <w:rPr>
          <w:rFonts w:ascii="Arial" w:eastAsia="楷体_GB2312" w:hAnsi="Arial" w:cs="Times New Roman"/>
          <w:b/>
          <w:bCs/>
          <w:sz w:val="22"/>
          <w:szCs w:val="22"/>
        </w:rPr>
      </w:pPr>
      <w:r w:rsidRPr="002119D5">
        <w:rPr>
          <w:rFonts w:ascii="Arial" w:eastAsia="楷体_GB2312" w:hAnsi="Arial" w:cs="Arial"/>
          <w:b/>
          <w:bCs/>
          <w:sz w:val="22"/>
          <w:szCs w:val="22"/>
        </w:rPr>
        <w:t>201</w:t>
      </w:r>
      <w:r>
        <w:rPr>
          <w:rFonts w:ascii="Arial" w:eastAsia="楷体_GB2312" w:hAnsi="Arial" w:cs="Arial"/>
          <w:b/>
          <w:bCs/>
          <w:sz w:val="22"/>
          <w:szCs w:val="22"/>
        </w:rPr>
        <w:t>2</w:t>
      </w:r>
      <w:r w:rsidRPr="002119D5">
        <w:rPr>
          <w:rFonts w:ascii="Arial" w:eastAsia="楷体_GB2312" w:hAnsi="Arial" w:cs="楷体_GB2312" w:hint="eastAsia"/>
          <w:b/>
          <w:bCs/>
          <w:sz w:val="22"/>
          <w:szCs w:val="22"/>
        </w:rPr>
        <w:t>年江苏省经济平稳增长，</w:t>
      </w:r>
      <w:r w:rsidRPr="002119D5">
        <w:rPr>
          <w:rFonts w:ascii="Arial" w:eastAsia="楷体_GB2312" w:hAnsi="Arial" w:cs="Arial"/>
          <w:b/>
          <w:bCs/>
          <w:sz w:val="22"/>
          <w:szCs w:val="22"/>
        </w:rPr>
        <w:t>GDP</w:t>
      </w:r>
      <w:r w:rsidRPr="002119D5">
        <w:rPr>
          <w:rFonts w:ascii="Arial" w:eastAsia="楷体_GB2312" w:hAnsi="Arial" w:cs="楷体_GB2312" w:hint="eastAsia"/>
          <w:b/>
          <w:bCs/>
          <w:sz w:val="22"/>
          <w:szCs w:val="22"/>
        </w:rPr>
        <w:t>总量位居全国第二，人均</w:t>
      </w:r>
      <w:r w:rsidRPr="002119D5">
        <w:rPr>
          <w:rFonts w:ascii="Arial" w:eastAsia="楷体_GB2312" w:hAnsi="Arial" w:cs="Arial"/>
          <w:b/>
          <w:bCs/>
          <w:sz w:val="22"/>
          <w:szCs w:val="22"/>
        </w:rPr>
        <w:t>GDP</w:t>
      </w:r>
      <w:r>
        <w:rPr>
          <w:rFonts w:ascii="Arial" w:eastAsia="楷体_GB2312" w:hAnsi="Arial" w:cs="楷体_GB2312" w:hint="eastAsia"/>
          <w:b/>
          <w:bCs/>
          <w:sz w:val="22"/>
          <w:szCs w:val="22"/>
        </w:rPr>
        <w:t>位列</w:t>
      </w:r>
      <w:r w:rsidRPr="002119D5">
        <w:rPr>
          <w:rFonts w:ascii="Arial" w:eastAsia="楷体_GB2312" w:hAnsi="Arial" w:cs="楷体_GB2312" w:hint="eastAsia"/>
          <w:b/>
          <w:bCs/>
          <w:sz w:val="22"/>
          <w:szCs w:val="22"/>
        </w:rPr>
        <w:t>全国第四</w:t>
      </w:r>
      <w:bookmarkEnd w:id="0"/>
    </w:p>
    <w:p w:rsidR="00DA0843" w:rsidRDefault="00DA0843" w:rsidP="008D4B5F">
      <w:pPr>
        <w:spacing w:beforeLines="50"/>
        <w:ind w:firstLine="405"/>
        <w:rPr>
          <w:rFonts w:ascii="Arial" w:eastAsia="楷体_GB2312" w:hAnsi="Arial" w:cs="Times New Roman"/>
        </w:rPr>
      </w:pPr>
      <w:r w:rsidRPr="00366A6C">
        <w:rPr>
          <w:rFonts w:ascii="Arial" w:eastAsia="楷体_GB2312" w:hAnsi="Arial" w:cs="Arial"/>
        </w:rPr>
        <w:t>2008</w:t>
      </w:r>
      <w:r w:rsidRPr="00366A6C">
        <w:rPr>
          <w:rFonts w:ascii="Arial" w:eastAsia="楷体_GB2312" w:hAnsi="Arial" w:cs="楷体_GB2312" w:hint="eastAsia"/>
        </w:rPr>
        <w:t>年至</w:t>
      </w:r>
      <w:r>
        <w:rPr>
          <w:rFonts w:ascii="Arial" w:eastAsia="楷体_GB2312" w:hAnsi="Arial" w:cs="Arial"/>
        </w:rPr>
        <w:t>2012</w:t>
      </w:r>
      <w:r w:rsidRPr="00366A6C">
        <w:rPr>
          <w:rFonts w:ascii="Arial" w:eastAsia="楷体_GB2312" w:hAnsi="Arial" w:cs="楷体_GB2312" w:hint="eastAsia"/>
        </w:rPr>
        <w:t>年江苏省经济实现平稳增长，整体经济发展处于全国前列。</w:t>
      </w:r>
      <w:r>
        <w:rPr>
          <w:rFonts w:ascii="Arial" w:eastAsia="楷体_GB2312" w:hAnsi="Arial" w:cs="Arial"/>
        </w:rPr>
        <w:t>2012</w:t>
      </w:r>
      <w:r w:rsidRPr="00366A6C">
        <w:rPr>
          <w:rFonts w:ascii="Arial" w:eastAsia="楷体_GB2312" w:hAnsi="Arial" w:cs="楷体_GB2312" w:hint="eastAsia"/>
        </w:rPr>
        <w:t>年江苏省</w:t>
      </w:r>
      <w:r w:rsidRPr="00366A6C">
        <w:rPr>
          <w:rFonts w:ascii="Arial" w:eastAsia="楷体_GB2312" w:hAnsi="Arial" w:cs="Arial"/>
        </w:rPr>
        <w:t>GDP</w:t>
      </w:r>
      <w:r w:rsidRPr="00366A6C">
        <w:rPr>
          <w:rFonts w:ascii="Arial" w:eastAsia="楷体_GB2312" w:hAnsi="Arial" w:cs="楷体_GB2312" w:hint="eastAsia"/>
        </w:rPr>
        <w:t>总量位居全国第二，为</w:t>
      </w:r>
      <w:r>
        <w:rPr>
          <w:rFonts w:ascii="Arial" w:eastAsia="楷体_GB2312" w:hAnsi="Arial" w:cs="Arial"/>
        </w:rPr>
        <w:t>5.4</w:t>
      </w:r>
      <w:r w:rsidRPr="00366A6C">
        <w:rPr>
          <w:rFonts w:ascii="Arial" w:eastAsia="楷体_GB2312" w:hAnsi="Arial" w:cs="楷体_GB2312" w:hint="eastAsia"/>
        </w:rPr>
        <w:t>万亿元，</w:t>
      </w:r>
      <w:r>
        <w:rPr>
          <w:rFonts w:ascii="Arial" w:eastAsia="楷体_GB2312" w:hAnsi="Arial" w:cs="楷体_GB2312" w:hint="eastAsia"/>
        </w:rPr>
        <w:t>仅次于广东，</w:t>
      </w:r>
      <w:r w:rsidRPr="00366A6C">
        <w:rPr>
          <w:rFonts w:ascii="Arial" w:eastAsia="楷体_GB2312" w:hAnsi="Arial" w:cs="楷体_GB2312" w:hint="eastAsia"/>
        </w:rPr>
        <w:t>按可比价计算比上年增长</w:t>
      </w:r>
      <w:r>
        <w:rPr>
          <w:rFonts w:ascii="Arial" w:eastAsia="楷体_GB2312" w:hAnsi="Arial" w:cs="Arial"/>
        </w:rPr>
        <w:t>10.1</w:t>
      </w:r>
      <w:r w:rsidRPr="00366A6C">
        <w:rPr>
          <w:rFonts w:ascii="Arial" w:eastAsia="楷体_GB2312" w:hAnsi="Arial" w:cs="Arial"/>
        </w:rPr>
        <w:t>%</w:t>
      </w:r>
      <w:r w:rsidRPr="00366A6C">
        <w:rPr>
          <w:rFonts w:ascii="Arial" w:eastAsia="楷体_GB2312" w:hAnsi="Arial" w:cs="楷体_GB2312" w:hint="eastAsia"/>
        </w:rPr>
        <w:t>。在人均</w:t>
      </w:r>
      <w:r w:rsidRPr="00366A6C">
        <w:rPr>
          <w:rFonts w:ascii="Arial" w:eastAsia="楷体_GB2312" w:hAnsi="Arial" w:cs="Arial"/>
        </w:rPr>
        <w:t>GDP</w:t>
      </w:r>
      <w:r w:rsidRPr="00366A6C">
        <w:rPr>
          <w:rFonts w:ascii="Arial" w:eastAsia="楷体_GB2312" w:hAnsi="Arial" w:cs="楷体_GB2312" w:hint="eastAsia"/>
        </w:rPr>
        <w:t>方面，</w:t>
      </w:r>
      <w:r w:rsidRPr="00366A6C">
        <w:rPr>
          <w:rFonts w:ascii="Arial" w:eastAsia="楷体_GB2312" w:hAnsi="Arial" w:cs="Arial"/>
        </w:rPr>
        <w:t>201</w:t>
      </w:r>
      <w:r>
        <w:rPr>
          <w:rFonts w:ascii="Arial" w:eastAsia="楷体_GB2312" w:hAnsi="Arial" w:cs="Arial"/>
        </w:rPr>
        <w:t>2</w:t>
      </w:r>
      <w:r w:rsidRPr="00366A6C">
        <w:rPr>
          <w:rFonts w:ascii="Arial" w:eastAsia="楷体_GB2312" w:hAnsi="Arial" w:cs="楷体_GB2312" w:hint="eastAsia"/>
        </w:rPr>
        <w:t>年江苏省人均</w:t>
      </w:r>
      <w:r w:rsidRPr="00366A6C">
        <w:rPr>
          <w:rFonts w:ascii="Arial" w:eastAsia="楷体_GB2312" w:hAnsi="Arial" w:cs="Arial"/>
        </w:rPr>
        <w:t>GDP</w:t>
      </w:r>
      <w:r w:rsidRPr="00366A6C">
        <w:rPr>
          <w:rFonts w:ascii="Arial" w:eastAsia="楷体_GB2312" w:hAnsi="Arial" w:cs="楷体_GB2312" w:hint="eastAsia"/>
        </w:rPr>
        <w:t>在全国地区人均</w:t>
      </w:r>
      <w:r w:rsidRPr="00366A6C">
        <w:rPr>
          <w:rFonts w:ascii="Arial" w:eastAsia="楷体_GB2312" w:hAnsi="Arial" w:cs="Arial"/>
        </w:rPr>
        <w:t>GDP</w:t>
      </w:r>
      <w:r w:rsidRPr="00366A6C">
        <w:rPr>
          <w:rFonts w:ascii="Arial" w:eastAsia="楷体_GB2312" w:hAnsi="Arial" w:cs="楷体_GB2312" w:hint="eastAsia"/>
        </w:rPr>
        <w:t>排名中位列第四。</w:t>
      </w:r>
      <w:r w:rsidRPr="00366A6C">
        <w:rPr>
          <w:rFonts w:ascii="Arial" w:eastAsia="楷体_GB2312" w:hAnsi="Arial" w:cs="Arial"/>
        </w:rPr>
        <w:t>201</w:t>
      </w:r>
      <w:r>
        <w:rPr>
          <w:rFonts w:ascii="Arial" w:eastAsia="楷体_GB2312" w:hAnsi="Arial" w:cs="Arial"/>
        </w:rPr>
        <w:t>2</w:t>
      </w:r>
      <w:r w:rsidRPr="00366A6C">
        <w:rPr>
          <w:rFonts w:ascii="Arial" w:eastAsia="楷体_GB2312" w:hAnsi="Arial" w:cs="楷体_GB2312" w:hint="eastAsia"/>
        </w:rPr>
        <w:t>年江苏省城镇居民人均可支配收入达</w:t>
      </w:r>
      <w:r w:rsidRPr="00366A6C">
        <w:rPr>
          <w:rFonts w:ascii="Arial" w:eastAsia="楷体_GB2312" w:hAnsi="Arial" w:cs="Arial"/>
        </w:rPr>
        <w:t>2</w:t>
      </w:r>
      <w:r>
        <w:rPr>
          <w:rFonts w:ascii="Arial" w:eastAsia="楷体_GB2312" w:hAnsi="Arial" w:cs="Arial"/>
        </w:rPr>
        <w:t>.97</w:t>
      </w:r>
      <w:r w:rsidRPr="00366A6C">
        <w:rPr>
          <w:rFonts w:ascii="Arial" w:eastAsia="楷体_GB2312" w:hAnsi="Arial" w:cs="楷体_GB2312" w:hint="eastAsia"/>
        </w:rPr>
        <w:t>万元，比上年增长</w:t>
      </w:r>
      <w:r>
        <w:rPr>
          <w:rFonts w:ascii="Arial" w:eastAsia="楷体_GB2312" w:hAnsi="Arial" w:cs="Arial"/>
        </w:rPr>
        <w:t>12.7</w:t>
      </w:r>
      <w:r w:rsidRPr="00366A6C">
        <w:rPr>
          <w:rFonts w:ascii="Arial" w:eastAsia="楷体_GB2312" w:hAnsi="Arial" w:cs="Arial"/>
        </w:rPr>
        <w:t>%</w:t>
      </w:r>
      <w:r w:rsidRPr="00366A6C">
        <w:rPr>
          <w:rFonts w:ascii="Arial" w:eastAsia="楷体_GB2312" w:hAnsi="Arial" w:cs="楷体_GB2312" w:hint="eastAsia"/>
        </w:rPr>
        <w:t>，扣除物价上涨因素，实际增长</w:t>
      </w:r>
      <w:r>
        <w:rPr>
          <w:rFonts w:ascii="Arial" w:eastAsia="楷体_GB2312" w:hAnsi="Arial" w:cs="Arial"/>
        </w:rPr>
        <w:t>9.9</w:t>
      </w:r>
      <w:r w:rsidRPr="00366A6C">
        <w:rPr>
          <w:rFonts w:ascii="Arial" w:eastAsia="楷体_GB2312" w:hAnsi="Arial" w:cs="Arial"/>
        </w:rPr>
        <w:t>%</w:t>
      </w:r>
      <w:r>
        <w:rPr>
          <w:rFonts w:ascii="Arial" w:eastAsia="楷体_GB2312" w:hAnsi="Arial" w:cs="楷体_GB2312" w:hint="eastAsia"/>
        </w:rPr>
        <w:t>。</w:t>
      </w:r>
    </w:p>
    <w:p w:rsidR="00DA0843" w:rsidRPr="002119D5" w:rsidRDefault="00DA0843" w:rsidP="008D4B5F">
      <w:pPr>
        <w:spacing w:beforeLines="50"/>
        <w:outlineLvl w:val="1"/>
        <w:rPr>
          <w:rFonts w:ascii="Arial" w:eastAsia="楷体_GB2312" w:hAnsi="Arial" w:cs="Times New Roman"/>
          <w:b/>
          <w:bCs/>
          <w:sz w:val="22"/>
          <w:szCs w:val="22"/>
        </w:rPr>
      </w:pPr>
      <w:bookmarkStart w:id="1" w:name="_Toc332381624"/>
      <w:r w:rsidRPr="002119D5">
        <w:rPr>
          <w:rFonts w:ascii="Arial" w:eastAsia="楷体_GB2312" w:hAnsi="Arial" w:cs="楷体_GB2312" w:hint="eastAsia"/>
          <w:b/>
          <w:bCs/>
          <w:sz w:val="22"/>
          <w:szCs w:val="22"/>
        </w:rPr>
        <w:t>苏</w:t>
      </w:r>
      <w:r>
        <w:rPr>
          <w:rFonts w:ascii="Arial" w:eastAsia="楷体_GB2312" w:hAnsi="Arial" w:cs="楷体_GB2312" w:hint="eastAsia"/>
          <w:b/>
          <w:bCs/>
          <w:sz w:val="22"/>
          <w:szCs w:val="22"/>
        </w:rPr>
        <w:t>、</w:t>
      </w:r>
      <w:r w:rsidRPr="002119D5">
        <w:rPr>
          <w:rFonts w:ascii="Arial" w:eastAsia="楷体_GB2312" w:hAnsi="Arial" w:cs="楷体_GB2312" w:hint="eastAsia"/>
          <w:b/>
          <w:bCs/>
          <w:sz w:val="22"/>
          <w:szCs w:val="22"/>
        </w:rPr>
        <w:t>锡</w:t>
      </w:r>
      <w:r>
        <w:rPr>
          <w:rFonts w:ascii="Arial" w:eastAsia="楷体_GB2312" w:hAnsi="Arial" w:cs="楷体_GB2312" w:hint="eastAsia"/>
          <w:b/>
          <w:bCs/>
          <w:sz w:val="22"/>
          <w:szCs w:val="22"/>
        </w:rPr>
        <w:t>、</w:t>
      </w:r>
      <w:r w:rsidRPr="002119D5">
        <w:rPr>
          <w:rFonts w:ascii="Arial" w:eastAsia="楷体_GB2312" w:hAnsi="Arial" w:cs="楷体_GB2312" w:hint="eastAsia"/>
          <w:b/>
          <w:bCs/>
          <w:sz w:val="22"/>
          <w:szCs w:val="22"/>
        </w:rPr>
        <w:t>宁占据</w:t>
      </w:r>
      <w:r>
        <w:rPr>
          <w:rFonts w:ascii="Arial" w:eastAsia="楷体_GB2312" w:hAnsi="Arial" w:cs="楷体_GB2312" w:hint="eastAsia"/>
          <w:b/>
          <w:bCs/>
          <w:sz w:val="22"/>
          <w:szCs w:val="22"/>
        </w:rPr>
        <w:t>江</w:t>
      </w:r>
      <w:r w:rsidRPr="002119D5">
        <w:rPr>
          <w:rFonts w:ascii="Arial" w:eastAsia="楷体_GB2312" w:hAnsi="Arial" w:cs="楷体_GB2312" w:hint="eastAsia"/>
          <w:b/>
          <w:bCs/>
          <w:sz w:val="22"/>
          <w:szCs w:val="22"/>
        </w:rPr>
        <w:t>苏上市公司半壁江山，制造业比例最高，非公经济活跃</w:t>
      </w:r>
    </w:p>
    <w:bookmarkEnd w:id="1"/>
    <w:p w:rsidR="00DA0843" w:rsidRPr="002119D5" w:rsidRDefault="00DA0843" w:rsidP="00370B4F">
      <w:pPr>
        <w:spacing w:beforeLines="50"/>
        <w:ind w:firstLineChars="200" w:firstLine="31680"/>
        <w:rPr>
          <w:rFonts w:ascii="Arial" w:eastAsia="楷体_GB2312" w:hAnsi="Arial" w:cs="Times New Roman"/>
        </w:rPr>
      </w:pPr>
      <w:r w:rsidRPr="00D0659C">
        <w:rPr>
          <w:rFonts w:ascii="Arial" w:eastAsia="楷体_GB2312" w:hAnsi="Arial" w:cs="楷体_GB2312" w:hint="eastAsia"/>
        </w:rPr>
        <w:t>从城市分布上看，江苏省十三个地级市当中，除淮安市目前没有上市公司外，其余城市均有上市公司。省内上市公司主要分布于苏州、南京、无锡，三市上市公司数量分别占到江苏省内上市公司总数的</w:t>
      </w:r>
      <w:r w:rsidRPr="00D0659C">
        <w:rPr>
          <w:rFonts w:ascii="Arial" w:eastAsia="楷体_GB2312" w:hAnsi="Arial" w:cs="Arial"/>
        </w:rPr>
        <w:t>2</w:t>
      </w:r>
      <w:r>
        <w:rPr>
          <w:rFonts w:ascii="Arial" w:eastAsia="楷体_GB2312" w:hAnsi="Arial" w:cs="Arial"/>
        </w:rPr>
        <w:t>8</w:t>
      </w:r>
      <w:r w:rsidRPr="00D0659C">
        <w:rPr>
          <w:rFonts w:ascii="Arial" w:eastAsia="楷体_GB2312" w:hAnsi="Arial" w:cs="Arial"/>
        </w:rPr>
        <w:t>%</w:t>
      </w:r>
      <w:r w:rsidRPr="00D0659C">
        <w:rPr>
          <w:rFonts w:ascii="Arial" w:eastAsia="楷体_GB2312" w:hAnsi="Arial" w:cs="楷体_GB2312" w:hint="eastAsia"/>
        </w:rPr>
        <w:t>、</w:t>
      </w:r>
      <w:r w:rsidRPr="00D0659C">
        <w:rPr>
          <w:rFonts w:ascii="Arial" w:eastAsia="楷体_GB2312" w:hAnsi="Arial" w:cs="Arial"/>
        </w:rPr>
        <w:t>20%</w:t>
      </w:r>
      <w:r w:rsidRPr="00D0659C">
        <w:rPr>
          <w:rFonts w:ascii="Arial" w:eastAsia="楷体_GB2312" w:hAnsi="Arial" w:cs="楷体_GB2312" w:hint="eastAsia"/>
        </w:rPr>
        <w:t>和</w:t>
      </w:r>
      <w:r w:rsidRPr="00D0659C">
        <w:rPr>
          <w:rFonts w:ascii="Arial" w:eastAsia="楷体_GB2312" w:hAnsi="Arial" w:cs="Arial"/>
        </w:rPr>
        <w:t>17%</w:t>
      </w:r>
      <w:r w:rsidRPr="00D0659C">
        <w:rPr>
          <w:rFonts w:ascii="Arial" w:eastAsia="楷体_GB2312" w:hAnsi="Arial" w:cs="楷体_GB2312" w:hint="eastAsia"/>
        </w:rPr>
        <w:t>。</w:t>
      </w:r>
    </w:p>
    <w:p w:rsidR="00DA0843" w:rsidRPr="002119D5" w:rsidRDefault="00DA0843" w:rsidP="00CD4E43">
      <w:pPr>
        <w:spacing w:beforeLines="50"/>
        <w:ind w:firstLineChars="200" w:firstLine="31680"/>
        <w:rPr>
          <w:rFonts w:ascii="Arial" w:eastAsia="楷体_GB2312" w:hAnsi="Arial" w:cs="Times New Roman"/>
        </w:rPr>
      </w:pPr>
      <w:r w:rsidRPr="00D54B5F">
        <w:rPr>
          <w:rFonts w:ascii="Arial" w:eastAsia="楷体_GB2312" w:hAnsi="Arial" w:cs="楷体_GB2312" w:hint="eastAsia"/>
        </w:rPr>
        <w:t>从行业分布上看，江苏省上市公司共涉及</w:t>
      </w:r>
      <w:r w:rsidRPr="00D54B5F">
        <w:rPr>
          <w:rFonts w:ascii="Arial" w:eastAsia="楷体_GB2312" w:hAnsi="Arial" w:cs="Arial"/>
        </w:rPr>
        <w:t>11</w:t>
      </w:r>
      <w:r w:rsidRPr="00D54B5F">
        <w:rPr>
          <w:rFonts w:ascii="Arial" w:eastAsia="楷体_GB2312" w:hAnsi="Arial" w:cs="楷体_GB2312" w:hint="eastAsia"/>
        </w:rPr>
        <w:t>个行业，其中制造业所占比例最大，高达</w:t>
      </w:r>
      <w:r w:rsidRPr="00D54B5F">
        <w:rPr>
          <w:rFonts w:ascii="Arial" w:eastAsia="楷体_GB2312" w:hAnsi="Arial" w:cs="Arial"/>
        </w:rPr>
        <w:t>71.9%</w:t>
      </w:r>
      <w:r w:rsidRPr="00D54B5F">
        <w:rPr>
          <w:rFonts w:ascii="Arial" w:eastAsia="楷体_GB2312" w:hAnsi="Arial" w:cs="楷体_GB2312" w:hint="eastAsia"/>
        </w:rPr>
        <w:t>，信息技术业与批发和零售贸易业也占到一定的比例，分别为</w:t>
      </w:r>
      <w:r>
        <w:rPr>
          <w:rFonts w:ascii="Arial" w:eastAsia="楷体_GB2312" w:hAnsi="Arial" w:cs="Arial"/>
        </w:rPr>
        <w:t>6.8</w:t>
      </w:r>
      <w:r w:rsidRPr="00D54B5F">
        <w:rPr>
          <w:rFonts w:ascii="Arial" w:eastAsia="楷体_GB2312" w:hAnsi="Arial" w:cs="Arial"/>
        </w:rPr>
        <w:t>%</w:t>
      </w:r>
      <w:r w:rsidRPr="00D54B5F">
        <w:rPr>
          <w:rFonts w:ascii="Arial" w:eastAsia="楷体_GB2312" w:hAnsi="Arial" w:cs="楷体_GB2312" w:hint="eastAsia"/>
        </w:rPr>
        <w:t>和</w:t>
      </w:r>
      <w:r>
        <w:rPr>
          <w:rFonts w:ascii="Arial" w:eastAsia="楷体_GB2312" w:hAnsi="Arial" w:cs="Arial"/>
        </w:rPr>
        <w:t>6.4</w:t>
      </w:r>
      <w:r w:rsidRPr="00D54B5F">
        <w:rPr>
          <w:rFonts w:ascii="Arial" w:eastAsia="楷体_GB2312" w:hAnsi="Arial" w:cs="Arial"/>
        </w:rPr>
        <w:t>%</w:t>
      </w:r>
      <w:r w:rsidRPr="00D54B5F">
        <w:rPr>
          <w:rFonts w:ascii="Arial" w:eastAsia="楷体_GB2312" w:hAnsi="Arial" w:cs="楷体_GB2312" w:hint="eastAsia"/>
        </w:rPr>
        <w:t>，其他行业数量较少。</w:t>
      </w:r>
    </w:p>
    <w:p w:rsidR="00DA0843" w:rsidRDefault="00DA0843" w:rsidP="00CD4E43">
      <w:pPr>
        <w:spacing w:beforeLines="50"/>
        <w:ind w:firstLineChars="200" w:firstLine="31680"/>
        <w:rPr>
          <w:rFonts w:ascii="Arial" w:eastAsia="楷体_GB2312" w:hAnsi="Arial" w:cs="Times New Roman"/>
        </w:rPr>
      </w:pPr>
      <w:bookmarkStart w:id="2" w:name="_Toc332381627"/>
      <w:r w:rsidRPr="00047506">
        <w:rPr>
          <w:rFonts w:ascii="Arial" w:eastAsia="楷体_GB2312" w:hAnsi="Arial" w:cs="楷体_GB2312" w:hint="eastAsia"/>
        </w:rPr>
        <w:t>从公司所有制上看，江苏省内国有</w:t>
      </w:r>
      <w:r w:rsidRPr="00047506">
        <w:rPr>
          <w:rStyle w:val="FootnoteReference"/>
          <w:rFonts w:ascii="Arial" w:eastAsia="楷体_GB2312" w:hAnsi="Arial" w:cs="Times New Roman"/>
        </w:rPr>
        <w:footnoteReference w:id="2"/>
      </w:r>
      <w:r w:rsidRPr="00047506">
        <w:rPr>
          <w:rFonts w:ascii="Arial" w:eastAsia="楷体_GB2312" w:hAnsi="Arial" w:cs="楷体_GB2312" w:hint="eastAsia"/>
        </w:rPr>
        <w:t>控股上市公司数量低于非国有控股上市公司，非公有制经济占了绝大多数。在江苏省上市公司中，国有控股上市公司占比</w:t>
      </w:r>
      <w:r>
        <w:rPr>
          <w:rFonts w:ascii="Arial" w:eastAsia="楷体_GB2312" w:hAnsi="Arial" w:cs="Arial"/>
        </w:rPr>
        <w:t>26</w:t>
      </w:r>
      <w:r w:rsidRPr="00047506">
        <w:rPr>
          <w:rFonts w:ascii="Arial" w:eastAsia="楷体_GB2312" w:hAnsi="Arial" w:cs="Arial"/>
        </w:rPr>
        <w:t>%</w:t>
      </w:r>
      <w:r w:rsidRPr="00047506">
        <w:rPr>
          <w:rFonts w:ascii="Arial" w:eastAsia="楷体_GB2312" w:hAnsi="Arial" w:cs="楷体_GB2312" w:hint="eastAsia"/>
        </w:rPr>
        <w:t>，非国有控股上市公司占比</w:t>
      </w:r>
      <w:r>
        <w:rPr>
          <w:rFonts w:ascii="Arial" w:eastAsia="楷体_GB2312" w:hAnsi="Arial" w:cs="Arial"/>
        </w:rPr>
        <w:t>74</w:t>
      </w:r>
      <w:r w:rsidRPr="00047506">
        <w:rPr>
          <w:rFonts w:ascii="Arial" w:eastAsia="楷体_GB2312" w:hAnsi="Arial" w:cs="Arial"/>
        </w:rPr>
        <w:t>%</w:t>
      </w:r>
      <w:r w:rsidRPr="00047506">
        <w:rPr>
          <w:rFonts w:ascii="Arial" w:eastAsia="楷体_GB2312" w:hAnsi="Arial" w:cs="楷体_GB2312" w:hint="eastAsia"/>
        </w:rPr>
        <w:t>，非国有控股上市公司数量大约是国有控股上市公司数量的</w:t>
      </w:r>
      <w:r w:rsidRPr="00047506">
        <w:rPr>
          <w:rFonts w:ascii="Arial" w:eastAsia="楷体_GB2312" w:hAnsi="Arial" w:cs="Arial"/>
        </w:rPr>
        <w:t>2</w:t>
      </w:r>
      <w:r w:rsidRPr="00047506">
        <w:rPr>
          <w:rFonts w:ascii="Arial" w:eastAsia="楷体_GB2312" w:hAnsi="Arial" w:cs="楷体_GB2312" w:hint="eastAsia"/>
        </w:rPr>
        <w:t>倍多。</w:t>
      </w:r>
    </w:p>
    <w:p w:rsidR="00DA0843" w:rsidRPr="00FE64E1" w:rsidRDefault="00DA0843" w:rsidP="008D4B5F">
      <w:pPr>
        <w:spacing w:beforeLines="50" w:line="276" w:lineRule="auto"/>
        <w:outlineLvl w:val="0"/>
        <w:rPr>
          <w:rFonts w:ascii="Arial" w:eastAsia="楷体_GB2312" w:hAnsi="Arial" w:cs="Times New Roman"/>
          <w:b/>
          <w:bCs/>
          <w:sz w:val="24"/>
          <w:szCs w:val="24"/>
        </w:rPr>
      </w:pPr>
      <w:r>
        <w:rPr>
          <w:rFonts w:ascii="Arial" w:eastAsia="楷体_GB2312" w:hAnsi="Arial" w:cs="楷体_GB2312" w:hint="eastAsia"/>
          <w:b/>
          <w:bCs/>
          <w:sz w:val="24"/>
          <w:szCs w:val="24"/>
        </w:rPr>
        <w:t>江苏地区上市公司高管薪酬特点</w:t>
      </w:r>
    </w:p>
    <w:p w:rsidR="00DA0843" w:rsidRDefault="00DA0843" w:rsidP="008D4B5F">
      <w:pPr>
        <w:pStyle w:val="ListParagraph"/>
        <w:spacing w:beforeLines="50"/>
        <w:ind w:firstLineChars="0"/>
        <w:rPr>
          <w:rFonts w:ascii="Arial" w:eastAsia="楷体_GB2312" w:hAnsi="Arial" w:cs="Times New Roman"/>
        </w:rPr>
      </w:pPr>
      <w:r>
        <w:rPr>
          <w:rFonts w:ascii="Arial" w:eastAsia="楷体_GB2312" w:hAnsi="Arial" w:cs="楷体_GB2312" w:hint="eastAsia"/>
        </w:rPr>
        <w:t>联合咨询中心根据</w:t>
      </w:r>
      <w:r>
        <w:rPr>
          <w:rFonts w:ascii="Arial" w:eastAsia="楷体_GB2312" w:hAnsi="Arial" w:cs="Arial"/>
        </w:rPr>
        <w:t>2008</w:t>
      </w:r>
      <w:r>
        <w:rPr>
          <w:rFonts w:ascii="Arial" w:eastAsia="楷体_GB2312" w:hAnsi="Arial" w:cs="楷体_GB2312" w:hint="eastAsia"/>
        </w:rPr>
        <w:t>至</w:t>
      </w:r>
      <w:r>
        <w:rPr>
          <w:rFonts w:ascii="Arial" w:eastAsia="楷体_GB2312" w:hAnsi="Arial" w:cs="Arial"/>
        </w:rPr>
        <w:t>2012</w:t>
      </w:r>
      <w:r>
        <w:rPr>
          <w:rFonts w:ascii="Arial" w:eastAsia="楷体_GB2312" w:hAnsi="Arial" w:cs="楷体_GB2312" w:hint="eastAsia"/>
        </w:rPr>
        <w:t>年上市公司年报报表公开披露的信息，以年报披露的各上市公司总经理薪酬为研究对象，将各上市</w:t>
      </w:r>
      <w:r w:rsidRPr="002B3B4C">
        <w:rPr>
          <w:rFonts w:ascii="Arial" w:eastAsia="楷体_GB2312" w:hAnsi="Arial" w:cs="楷体_GB2312" w:hint="eastAsia"/>
        </w:rPr>
        <w:t>公司</w:t>
      </w:r>
      <w:r w:rsidRPr="002B3B4C">
        <w:rPr>
          <w:rFonts w:ascii="Arial" w:eastAsia="楷体_GB2312" w:hAnsi="Arial" w:cs="Arial"/>
        </w:rPr>
        <w:t>CEO</w:t>
      </w:r>
      <w:r w:rsidRPr="002B3B4C">
        <w:rPr>
          <w:rFonts w:ascii="Arial" w:eastAsia="楷体_GB2312" w:hAnsi="Arial" w:cs="楷体_GB2312" w:hint="eastAsia"/>
        </w:rPr>
        <w:t>、总经理、行长职位年薪代表高管薪酬，对</w:t>
      </w:r>
      <w:r>
        <w:rPr>
          <w:rFonts w:ascii="Arial" w:eastAsia="楷体_GB2312" w:hAnsi="Arial" w:cs="楷体_GB2312" w:hint="eastAsia"/>
        </w:rPr>
        <w:t>江苏省</w:t>
      </w:r>
      <w:r w:rsidRPr="002B3B4C">
        <w:rPr>
          <w:rFonts w:ascii="Arial" w:eastAsia="楷体_GB2312" w:hAnsi="Arial" w:cs="楷体_GB2312" w:hint="eastAsia"/>
        </w:rPr>
        <w:t>上市公司高管薪酬水平状况进行研究。</w:t>
      </w:r>
    </w:p>
    <w:p w:rsidR="00DA0843" w:rsidRDefault="00DA0843" w:rsidP="008D4B5F">
      <w:pPr>
        <w:pStyle w:val="ListParagraph"/>
        <w:spacing w:beforeLines="50"/>
        <w:ind w:firstLineChars="0"/>
        <w:rPr>
          <w:rFonts w:ascii="Arial" w:eastAsia="楷体_GB2312" w:hAnsi="Arial" w:cs="Times New Roman"/>
        </w:rPr>
      </w:pPr>
      <w:r w:rsidRPr="00EB4756">
        <w:rPr>
          <w:rFonts w:ascii="Arial" w:eastAsia="楷体_GB2312" w:hAnsi="Arial" w:cs="楷体_GB2312" w:hint="eastAsia"/>
        </w:rPr>
        <w:t>在搜集信息过程中，发现有些公司的年报对薪酬并没有进行充分的公布，所以在分析时进行了一定的筛选：删除</w:t>
      </w:r>
      <w:r>
        <w:rPr>
          <w:rFonts w:ascii="Arial" w:eastAsia="楷体_GB2312" w:hAnsi="Arial" w:cs="楷体_GB2312" w:hint="eastAsia"/>
        </w:rPr>
        <w:t>了</w:t>
      </w:r>
      <w:r w:rsidRPr="00EB4756">
        <w:rPr>
          <w:rFonts w:ascii="Arial" w:eastAsia="楷体_GB2312" w:hAnsi="Arial" w:cs="楷体_GB2312" w:hint="eastAsia"/>
        </w:rPr>
        <w:t>总经理薪酬为</w:t>
      </w:r>
      <w:r w:rsidRPr="00EB4756">
        <w:rPr>
          <w:rFonts w:ascii="Arial" w:eastAsia="楷体_GB2312" w:hAnsi="Arial" w:cs="Arial"/>
        </w:rPr>
        <w:t>0</w:t>
      </w:r>
      <w:r w:rsidRPr="00EB4756">
        <w:rPr>
          <w:rFonts w:ascii="Arial" w:eastAsia="楷体_GB2312" w:hAnsi="Arial" w:cs="楷体_GB2312" w:hint="eastAsia"/>
        </w:rPr>
        <w:t>的公司，共</w:t>
      </w:r>
      <w:r>
        <w:rPr>
          <w:rFonts w:ascii="Arial" w:eastAsia="楷体_GB2312" w:hAnsi="Arial" w:cs="Arial"/>
        </w:rPr>
        <w:t>1</w:t>
      </w:r>
      <w:r w:rsidRPr="00EB4756">
        <w:rPr>
          <w:rFonts w:ascii="Arial" w:eastAsia="楷体_GB2312" w:hAnsi="Arial" w:cs="楷体_GB2312" w:hint="eastAsia"/>
        </w:rPr>
        <w:t>家</w:t>
      </w:r>
      <w:r>
        <w:rPr>
          <w:rFonts w:ascii="Arial" w:eastAsia="楷体_GB2312" w:hAnsi="Arial" w:cs="楷体_GB2312" w:hint="eastAsia"/>
        </w:rPr>
        <w:t>；</w:t>
      </w:r>
      <w:r w:rsidRPr="00EB4756">
        <w:rPr>
          <w:rFonts w:ascii="Arial" w:eastAsia="楷体_GB2312" w:hAnsi="Arial" w:cs="楷体_GB2312" w:hint="eastAsia"/>
        </w:rPr>
        <w:t>删除总经理薪酬未公布的公司，共</w:t>
      </w:r>
      <w:r>
        <w:rPr>
          <w:rFonts w:ascii="Arial" w:eastAsia="楷体_GB2312" w:hAnsi="Arial" w:cs="Arial"/>
        </w:rPr>
        <w:t>2</w:t>
      </w:r>
      <w:r w:rsidRPr="00EB4756">
        <w:rPr>
          <w:rFonts w:ascii="Arial" w:eastAsia="楷体_GB2312" w:hAnsi="Arial" w:cs="楷体_GB2312" w:hint="eastAsia"/>
        </w:rPr>
        <w:t>家</w:t>
      </w:r>
      <w:r>
        <w:rPr>
          <w:rFonts w:ascii="Arial" w:eastAsia="楷体_GB2312" w:hAnsi="Arial" w:cs="楷体_GB2312" w:hint="eastAsia"/>
        </w:rPr>
        <w:t>。最终我们以</w:t>
      </w:r>
      <w:r>
        <w:rPr>
          <w:rFonts w:ascii="Arial" w:eastAsia="楷体_GB2312" w:hAnsi="Arial" w:cs="Arial"/>
        </w:rPr>
        <w:t>2012</w:t>
      </w:r>
      <w:r>
        <w:rPr>
          <w:rFonts w:ascii="Arial" w:eastAsia="楷体_GB2312" w:hAnsi="Arial" w:cs="楷体_GB2312" w:hint="eastAsia"/>
        </w:rPr>
        <w:t>年江苏省</w:t>
      </w:r>
      <w:r>
        <w:rPr>
          <w:rFonts w:ascii="Arial" w:eastAsia="楷体_GB2312" w:hAnsi="Arial" w:cs="Arial"/>
        </w:rPr>
        <w:t>232</w:t>
      </w:r>
      <w:r>
        <w:rPr>
          <w:rFonts w:ascii="Arial" w:eastAsia="楷体_GB2312" w:hAnsi="Arial" w:cs="楷体_GB2312" w:hint="eastAsia"/>
        </w:rPr>
        <w:t>家</w:t>
      </w:r>
      <w:r w:rsidRPr="002B3B4C">
        <w:rPr>
          <w:rFonts w:ascii="Arial" w:eastAsia="楷体_GB2312" w:hAnsi="Arial" w:cs="楷体_GB2312" w:hint="eastAsia"/>
        </w:rPr>
        <w:t>上市公司为样本</w:t>
      </w:r>
      <w:r>
        <w:rPr>
          <w:rFonts w:ascii="Arial" w:eastAsia="楷体_GB2312" w:hAnsi="Arial" w:cs="楷体_GB2312" w:hint="eastAsia"/>
        </w:rPr>
        <w:t>，开展研究。发现江苏省上市公司高管薪酬存在以下激励特点：</w:t>
      </w:r>
    </w:p>
    <w:p w:rsidR="00DA0843" w:rsidRPr="00844342" w:rsidRDefault="00DA0843" w:rsidP="008D4B5F">
      <w:pPr>
        <w:spacing w:beforeLines="50"/>
        <w:outlineLvl w:val="1"/>
        <w:rPr>
          <w:rFonts w:ascii="Arial" w:eastAsia="楷体_GB2312" w:hAnsi="Arial" w:cs="Times New Roman"/>
          <w:b/>
          <w:bCs/>
          <w:sz w:val="22"/>
          <w:szCs w:val="22"/>
        </w:rPr>
      </w:pPr>
      <w:r>
        <w:rPr>
          <w:rFonts w:ascii="Arial" w:eastAsia="楷体_GB2312" w:hAnsi="Arial" w:cs="楷体_GB2312" w:hint="eastAsia"/>
          <w:b/>
          <w:bCs/>
          <w:sz w:val="22"/>
          <w:szCs w:val="22"/>
        </w:rPr>
        <w:t>总体水平：江苏</w:t>
      </w:r>
      <w:r w:rsidRPr="00844342">
        <w:rPr>
          <w:rFonts w:ascii="Arial" w:eastAsia="楷体_GB2312" w:hAnsi="Arial" w:cs="楷体_GB2312" w:hint="eastAsia"/>
          <w:b/>
          <w:bCs/>
          <w:sz w:val="22"/>
          <w:szCs w:val="22"/>
        </w:rPr>
        <w:t>上市公司高管薪酬平均水平逐年上升</w:t>
      </w:r>
      <w:bookmarkEnd w:id="2"/>
      <w:r w:rsidRPr="00844342">
        <w:rPr>
          <w:rFonts w:ascii="Arial" w:eastAsia="楷体_GB2312" w:hAnsi="Arial" w:cs="楷体_GB2312" w:hint="eastAsia"/>
          <w:b/>
          <w:bCs/>
          <w:sz w:val="22"/>
          <w:szCs w:val="22"/>
        </w:rPr>
        <w:t>，但仍低于全国平均水平</w:t>
      </w:r>
    </w:p>
    <w:p w:rsidR="00DA0843" w:rsidRPr="007251E1" w:rsidRDefault="00DA0843" w:rsidP="008D4B5F">
      <w:pPr>
        <w:pStyle w:val="ListParagraph"/>
        <w:spacing w:beforeLines="50"/>
        <w:ind w:firstLineChars="0"/>
        <w:rPr>
          <w:rFonts w:ascii="Arial" w:eastAsia="楷体_GB2312" w:hAnsi="Arial" w:cs="Times New Roman"/>
        </w:rPr>
      </w:pPr>
      <w:r>
        <w:rPr>
          <w:rFonts w:ascii="Arial" w:eastAsia="楷体_GB2312" w:hAnsi="Arial" w:cs="楷体_GB2312" w:hint="eastAsia"/>
        </w:rPr>
        <w:t>联合咨询中心分析发现，</w:t>
      </w:r>
      <w:r>
        <w:rPr>
          <w:rFonts w:ascii="Arial" w:eastAsia="楷体_GB2312" w:hAnsi="Arial" w:cs="Arial"/>
        </w:rPr>
        <w:t>2008</w:t>
      </w:r>
      <w:r>
        <w:rPr>
          <w:rFonts w:ascii="Arial" w:eastAsia="楷体_GB2312" w:hAnsi="Arial" w:cs="楷体_GB2312" w:hint="eastAsia"/>
        </w:rPr>
        <w:t>至</w:t>
      </w:r>
      <w:r>
        <w:rPr>
          <w:rFonts w:ascii="Arial" w:eastAsia="楷体_GB2312" w:hAnsi="Arial" w:cs="Arial"/>
        </w:rPr>
        <w:t>2012</w:t>
      </w:r>
      <w:r>
        <w:rPr>
          <w:rFonts w:ascii="Arial" w:eastAsia="楷体_GB2312" w:hAnsi="Arial" w:cs="楷体_GB2312" w:hint="eastAsia"/>
        </w:rPr>
        <w:t>年江苏省上市公司高管薪酬水平呈逐年上涨趋势。从平均值</w:t>
      </w:r>
      <w:r>
        <w:rPr>
          <w:rStyle w:val="FootnoteReference"/>
          <w:rFonts w:ascii="Arial" w:eastAsia="楷体_GB2312" w:hAnsi="Arial" w:cs="Times New Roman"/>
        </w:rPr>
        <w:footnoteReference w:id="3"/>
      </w:r>
      <w:r>
        <w:rPr>
          <w:rFonts w:ascii="Arial" w:eastAsia="楷体_GB2312" w:hAnsi="Arial" w:cs="楷体_GB2312" w:hint="eastAsia"/>
        </w:rPr>
        <w:t>来看，五年间</w:t>
      </w:r>
      <w:r w:rsidRPr="007251E1">
        <w:rPr>
          <w:rFonts w:ascii="Arial" w:eastAsia="楷体_GB2312" w:hAnsi="Arial" w:cs="楷体_GB2312" w:hint="eastAsia"/>
        </w:rPr>
        <w:t>江苏省上市公司高管年薪平均值分别为</w:t>
      </w:r>
      <w:r w:rsidRPr="007251E1">
        <w:rPr>
          <w:rFonts w:ascii="Arial" w:eastAsia="楷体_GB2312" w:hAnsi="Arial" w:cs="Arial"/>
        </w:rPr>
        <w:t>37.33</w:t>
      </w:r>
      <w:r w:rsidRPr="007251E1">
        <w:rPr>
          <w:rFonts w:ascii="Arial" w:eastAsia="楷体_GB2312" w:hAnsi="Arial" w:cs="楷体_GB2312" w:hint="eastAsia"/>
        </w:rPr>
        <w:t>万元、</w:t>
      </w:r>
      <w:r w:rsidRPr="007251E1">
        <w:rPr>
          <w:rFonts w:ascii="Arial" w:eastAsia="楷体_GB2312" w:hAnsi="Arial" w:cs="Arial"/>
        </w:rPr>
        <w:t>40.63</w:t>
      </w:r>
      <w:r w:rsidRPr="007251E1">
        <w:rPr>
          <w:rFonts w:ascii="Arial" w:eastAsia="楷体_GB2312" w:hAnsi="Arial" w:cs="楷体_GB2312" w:hint="eastAsia"/>
        </w:rPr>
        <w:t>万元、</w:t>
      </w:r>
      <w:r w:rsidRPr="00047506">
        <w:rPr>
          <w:rFonts w:ascii="Arial" w:eastAsia="楷体_GB2312" w:hAnsi="Arial" w:cs="Arial"/>
        </w:rPr>
        <w:t>50.45</w:t>
      </w:r>
      <w:r w:rsidRPr="00047506">
        <w:rPr>
          <w:rFonts w:ascii="Arial" w:eastAsia="楷体_GB2312" w:hAnsi="Arial" w:cs="楷体_GB2312" w:hint="eastAsia"/>
        </w:rPr>
        <w:t>万元</w:t>
      </w:r>
      <w:r w:rsidRPr="002E2E3C">
        <w:rPr>
          <w:rFonts w:ascii="Arial" w:eastAsia="楷体_GB2312" w:hAnsi="Arial" w:cs="楷体_GB2312" w:hint="eastAsia"/>
          <w:color w:val="FF0000"/>
        </w:rPr>
        <w:t>、</w:t>
      </w:r>
      <w:r w:rsidRPr="007251E1">
        <w:rPr>
          <w:rFonts w:ascii="Arial" w:eastAsia="楷体_GB2312" w:hAnsi="Arial" w:cs="Arial"/>
        </w:rPr>
        <w:t>55.24</w:t>
      </w:r>
      <w:r w:rsidRPr="007251E1">
        <w:rPr>
          <w:rFonts w:ascii="Arial" w:eastAsia="楷体_GB2312" w:hAnsi="Arial" w:cs="楷体_GB2312" w:hint="eastAsia"/>
        </w:rPr>
        <w:t>万元</w:t>
      </w:r>
      <w:r>
        <w:rPr>
          <w:rFonts w:ascii="Arial" w:eastAsia="楷体_GB2312" w:hAnsi="Arial" w:cs="楷体_GB2312" w:hint="eastAsia"/>
        </w:rPr>
        <w:t>以及</w:t>
      </w:r>
      <w:r>
        <w:rPr>
          <w:rFonts w:ascii="Arial" w:eastAsia="楷体_GB2312" w:hAnsi="Arial" w:cs="Arial"/>
        </w:rPr>
        <w:t>57.69</w:t>
      </w:r>
      <w:r>
        <w:rPr>
          <w:rFonts w:ascii="Arial" w:eastAsia="楷体_GB2312" w:hAnsi="Arial" w:cs="楷体_GB2312" w:hint="eastAsia"/>
        </w:rPr>
        <w:t>万元</w:t>
      </w:r>
      <w:r w:rsidRPr="007251E1">
        <w:rPr>
          <w:rFonts w:ascii="Arial" w:eastAsia="楷体_GB2312" w:hAnsi="Arial" w:cs="楷体_GB2312" w:hint="eastAsia"/>
        </w:rPr>
        <w:t>，其中</w:t>
      </w:r>
      <w:r w:rsidRPr="007251E1">
        <w:rPr>
          <w:rFonts w:ascii="Arial" w:eastAsia="楷体_GB2312" w:hAnsi="Arial" w:cs="Arial"/>
        </w:rPr>
        <w:t>2010</w:t>
      </w:r>
      <w:r w:rsidRPr="007251E1">
        <w:rPr>
          <w:rFonts w:ascii="Arial" w:eastAsia="楷体_GB2312" w:hAnsi="Arial" w:cs="楷体_GB2312" w:hint="eastAsia"/>
        </w:rPr>
        <w:t>年、</w:t>
      </w:r>
      <w:r w:rsidRPr="007251E1">
        <w:rPr>
          <w:rFonts w:ascii="Arial" w:eastAsia="楷体_GB2312" w:hAnsi="Arial" w:cs="Arial"/>
        </w:rPr>
        <w:t>2011</w:t>
      </w:r>
      <w:r w:rsidRPr="007251E1">
        <w:rPr>
          <w:rFonts w:ascii="Arial" w:eastAsia="楷体_GB2312" w:hAnsi="Arial" w:cs="楷体_GB2312" w:hint="eastAsia"/>
        </w:rPr>
        <w:t>年</w:t>
      </w:r>
      <w:r>
        <w:rPr>
          <w:rFonts w:ascii="Arial" w:eastAsia="楷体_GB2312" w:hAnsi="Arial" w:cs="楷体_GB2312" w:hint="eastAsia"/>
        </w:rPr>
        <w:t>和</w:t>
      </w:r>
      <w:r>
        <w:rPr>
          <w:rFonts w:ascii="Arial" w:eastAsia="楷体_GB2312" w:hAnsi="Arial" w:cs="Arial"/>
        </w:rPr>
        <w:t>2012</w:t>
      </w:r>
      <w:r>
        <w:rPr>
          <w:rFonts w:ascii="Arial" w:eastAsia="楷体_GB2312" w:hAnsi="Arial" w:cs="楷体_GB2312" w:hint="eastAsia"/>
        </w:rPr>
        <w:t>年</w:t>
      </w:r>
      <w:r w:rsidRPr="007251E1">
        <w:rPr>
          <w:rFonts w:ascii="Arial" w:eastAsia="楷体_GB2312" w:hAnsi="Arial" w:cs="楷体_GB2312" w:hint="eastAsia"/>
        </w:rPr>
        <w:t>的平均值分别较上年增长了</w:t>
      </w:r>
      <w:r w:rsidRPr="007251E1">
        <w:rPr>
          <w:rFonts w:ascii="Arial" w:eastAsia="楷体_GB2312" w:hAnsi="Arial" w:cs="Arial"/>
        </w:rPr>
        <w:t>24.16%</w:t>
      </w:r>
      <w:r>
        <w:rPr>
          <w:rFonts w:ascii="Arial" w:eastAsia="楷体_GB2312" w:hAnsi="Arial" w:cs="楷体_GB2312" w:hint="eastAsia"/>
        </w:rPr>
        <w:t>、</w:t>
      </w:r>
      <w:r w:rsidRPr="007251E1">
        <w:rPr>
          <w:rFonts w:ascii="Arial" w:eastAsia="楷体_GB2312" w:hAnsi="Arial" w:cs="Arial"/>
        </w:rPr>
        <w:t>9.47%</w:t>
      </w:r>
      <w:r>
        <w:rPr>
          <w:rFonts w:ascii="Arial" w:eastAsia="楷体_GB2312" w:hAnsi="Arial" w:cs="楷体_GB2312" w:hint="eastAsia"/>
        </w:rPr>
        <w:t>和</w:t>
      </w:r>
      <w:r>
        <w:rPr>
          <w:rFonts w:ascii="Arial" w:eastAsia="楷体_GB2312" w:hAnsi="Arial" w:cs="Arial"/>
        </w:rPr>
        <w:t>4.44%</w:t>
      </w:r>
      <w:r>
        <w:rPr>
          <w:rFonts w:ascii="Arial" w:eastAsia="楷体_GB2312" w:hAnsi="Arial" w:cs="楷体_GB2312" w:hint="eastAsia"/>
        </w:rPr>
        <w:t>，增长率有所下降</w:t>
      </w:r>
      <w:r w:rsidRPr="007251E1">
        <w:rPr>
          <w:rFonts w:ascii="Arial" w:eastAsia="楷体_GB2312" w:hAnsi="Arial" w:cs="楷体_GB2312" w:hint="eastAsia"/>
        </w:rPr>
        <w:t>。</w:t>
      </w:r>
    </w:p>
    <w:p w:rsidR="00DA0843" w:rsidRPr="00844342" w:rsidRDefault="00DA0843" w:rsidP="00370B4F">
      <w:pPr>
        <w:spacing w:beforeLines="50"/>
        <w:ind w:firstLineChars="200" w:firstLine="31680"/>
        <w:jc w:val="center"/>
        <w:rPr>
          <w:rFonts w:ascii="Arial" w:eastAsia="楷体_GB2312" w:hAnsi="Arial" w:cs="Times New Roman"/>
          <w:b/>
          <w:bCs/>
        </w:rPr>
      </w:pPr>
      <w:r>
        <w:rPr>
          <w:rFonts w:ascii="Arial" w:eastAsia="楷体_GB2312" w:hAnsi="Arial" w:cs="Arial"/>
          <w:b/>
          <w:bCs/>
        </w:rPr>
        <w:t>2008-2012</w:t>
      </w:r>
      <w:r>
        <w:rPr>
          <w:rFonts w:ascii="Arial" w:eastAsia="楷体_GB2312" w:hAnsi="Arial" w:cs="楷体_GB2312" w:hint="eastAsia"/>
          <w:b/>
          <w:bCs/>
        </w:rPr>
        <w:t>年</w:t>
      </w:r>
      <w:r w:rsidRPr="00844342">
        <w:rPr>
          <w:rFonts w:ascii="Arial" w:eastAsia="楷体_GB2312" w:hAnsi="Arial" w:cs="楷体_GB2312" w:hint="eastAsia"/>
          <w:b/>
          <w:bCs/>
        </w:rPr>
        <w:t>江苏地区与全国高管薪酬平均值对比</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1229"/>
        <w:gridCol w:w="1229"/>
        <w:gridCol w:w="1229"/>
        <w:gridCol w:w="1229"/>
        <w:gridCol w:w="1230"/>
      </w:tblGrid>
      <w:tr w:rsidR="00DA0843" w:rsidRPr="00844342">
        <w:trPr>
          <w:trHeight w:val="661"/>
          <w:jc w:val="center"/>
        </w:trPr>
        <w:tc>
          <w:tcPr>
            <w:tcW w:w="2376" w:type="dxa"/>
            <w:tcBorders>
              <w:tl2br w:val="single" w:sz="4" w:space="0" w:color="auto"/>
            </w:tcBorders>
            <w:vAlign w:val="center"/>
          </w:tcPr>
          <w:p w:rsidR="00DA0843" w:rsidRPr="002F5AE3" w:rsidRDefault="00DA0843" w:rsidP="002F5AE3">
            <w:pPr>
              <w:jc w:val="center"/>
              <w:rPr>
                <w:rFonts w:ascii="Arial" w:eastAsia="楷体_GB2312" w:hAnsi="Arial" w:cs="Times New Roman"/>
              </w:rPr>
            </w:pPr>
            <w:r w:rsidRPr="002F5AE3">
              <w:rPr>
                <w:rFonts w:ascii="Arial" w:eastAsia="楷体_GB2312" w:hAnsi="Arial" w:cs="楷体_GB2312" w:hint="eastAsia"/>
              </w:rPr>
              <w:t>年份</w:t>
            </w:r>
          </w:p>
          <w:p w:rsidR="00DA0843" w:rsidRPr="002F5AE3" w:rsidRDefault="00DA0843" w:rsidP="00A83D19">
            <w:pPr>
              <w:rPr>
                <w:rFonts w:ascii="Arial" w:eastAsia="楷体_GB2312" w:hAnsi="Arial" w:cs="Times New Roman"/>
              </w:rPr>
            </w:pPr>
            <w:r w:rsidRPr="002F5AE3">
              <w:rPr>
                <w:rFonts w:ascii="Arial" w:eastAsia="楷体_GB2312" w:hAnsi="Arial" w:cs="楷体_GB2312" w:hint="eastAsia"/>
              </w:rPr>
              <w:t>高管薪酬（万元）</w:t>
            </w:r>
          </w:p>
        </w:tc>
        <w:tc>
          <w:tcPr>
            <w:tcW w:w="1229" w:type="dxa"/>
            <w:vAlign w:val="center"/>
          </w:tcPr>
          <w:p w:rsidR="00DA0843" w:rsidRPr="002F5AE3" w:rsidRDefault="00DA0843" w:rsidP="002F5AE3">
            <w:pPr>
              <w:jc w:val="center"/>
              <w:rPr>
                <w:rFonts w:ascii="Arial" w:eastAsia="楷体_GB2312" w:hAnsi="Arial" w:cs="Times New Roman"/>
              </w:rPr>
            </w:pPr>
            <w:r w:rsidRPr="002F5AE3">
              <w:rPr>
                <w:rFonts w:ascii="Arial" w:eastAsia="楷体_GB2312" w:hAnsi="Arial" w:cs="Arial"/>
              </w:rPr>
              <w:t>2008</w:t>
            </w:r>
            <w:r w:rsidRPr="002F5AE3">
              <w:rPr>
                <w:rFonts w:ascii="Arial" w:eastAsia="楷体_GB2312" w:hAnsi="Arial" w:cs="楷体_GB2312" w:hint="eastAsia"/>
              </w:rPr>
              <w:t>年</w:t>
            </w:r>
          </w:p>
        </w:tc>
        <w:tc>
          <w:tcPr>
            <w:tcW w:w="1229" w:type="dxa"/>
            <w:vAlign w:val="center"/>
          </w:tcPr>
          <w:p w:rsidR="00DA0843" w:rsidRPr="002F5AE3" w:rsidRDefault="00DA0843" w:rsidP="002F5AE3">
            <w:pPr>
              <w:jc w:val="center"/>
              <w:rPr>
                <w:rFonts w:ascii="Arial" w:eastAsia="楷体_GB2312" w:hAnsi="Arial" w:cs="Times New Roman"/>
              </w:rPr>
            </w:pPr>
            <w:r w:rsidRPr="002F5AE3">
              <w:rPr>
                <w:rFonts w:ascii="Arial" w:eastAsia="楷体_GB2312" w:hAnsi="Arial" w:cs="Arial"/>
              </w:rPr>
              <w:t>2009</w:t>
            </w:r>
            <w:r w:rsidRPr="002F5AE3">
              <w:rPr>
                <w:rFonts w:ascii="Arial" w:eastAsia="楷体_GB2312" w:hAnsi="Arial" w:cs="楷体_GB2312" w:hint="eastAsia"/>
              </w:rPr>
              <w:t>年</w:t>
            </w:r>
          </w:p>
        </w:tc>
        <w:tc>
          <w:tcPr>
            <w:tcW w:w="1229" w:type="dxa"/>
            <w:vAlign w:val="center"/>
          </w:tcPr>
          <w:p w:rsidR="00DA0843" w:rsidRPr="002F5AE3" w:rsidRDefault="00DA0843" w:rsidP="002F5AE3">
            <w:pPr>
              <w:jc w:val="center"/>
              <w:rPr>
                <w:rFonts w:ascii="Arial" w:eastAsia="楷体_GB2312" w:hAnsi="Arial" w:cs="Times New Roman"/>
              </w:rPr>
            </w:pPr>
            <w:r w:rsidRPr="002F5AE3">
              <w:rPr>
                <w:rFonts w:ascii="Arial" w:eastAsia="楷体_GB2312" w:hAnsi="Arial" w:cs="Arial"/>
              </w:rPr>
              <w:t>2010</w:t>
            </w:r>
            <w:r w:rsidRPr="002F5AE3">
              <w:rPr>
                <w:rFonts w:ascii="Arial" w:eastAsia="楷体_GB2312" w:hAnsi="Arial" w:cs="楷体_GB2312" w:hint="eastAsia"/>
              </w:rPr>
              <w:t>年</w:t>
            </w:r>
          </w:p>
        </w:tc>
        <w:tc>
          <w:tcPr>
            <w:tcW w:w="1229" w:type="dxa"/>
            <w:vAlign w:val="center"/>
          </w:tcPr>
          <w:p w:rsidR="00DA0843" w:rsidRPr="002F5AE3" w:rsidRDefault="00DA0843" w:rsidP="002F5AE3">
            <w:pPr>
              <w:jc w:val="center"/>
              <w:rPr>
                <w:rFonts w:ascii="Arial" w:eastAsia="楷体_GB2312" w:hAnsi="Arial" w:cs="Times New Roman"/>
              </w:rPr>
            </w:pPr>
            <w:r w:rsidRPr="002F5AE3">
              <w:rPr>
                <w:rFonts w:ascii="Arial" w:eastAsia="楷体_GB2312" w:hAnsi="Arial" w:cs="Arial"/>
              </w:rPr>
              <w:t>2011</w:t>
            </w:r>
            <w:r w:rsidRPr="002F5AE3">
              <w:rPr>
                <w:rFonts w:ascii="Arial" w:eastAsia="楷体_GB2312" w:hAnsi="Arial" w:cs="楷体_GB2312" w:hint="eastAsia"/>
              </w:rPr>
              <w:t>年</w:t>
            </w:r>
          </w:p>
        </w:tc>
        <w:tc>
          <w:tcPr>
            <w:tcW w:w="1230" w:type="dxa"/>
            <w:vAlign w:val="center"/>
          </w:tcPr>
          <w:p w:rsidR="00DA0843" w:rsidRPr="002F5AE3" w:rsidRDefault="00DA0843" w:rsidP="002F5AE3">
            <w:pPr>
              <w:jc w:val="center"/>
              <w:rPr>
                <w:rFonts w:ascii="Arial" w:eastAsia="楷体_GB2312" w:hAnsi="Arial" w:cs="Times New Roman"/>
              </w:rPr>
            </w:pPr>
            <w:r w:rsidRPr="002F5AE3">
              <w:rPr>
                <w:rFonts w:ascii="Arial" w:eastAsia="楷体_GB2312" w:hAnsi="Arial" w:cs="Arial"/>
              </w:rPr>
              <w:t>2012</w:t>
            </w:r>
            <w:r w:rsidRPr="002F5AE3">
              <w:rPr>
                <w:rFonts w:ascii="Arial" w:eastAsia="楷体_GB2312" w:hAnsi="Arial" w:cs="楷体_GB2312" w:hint="eastAsia"/>
              </w:rPr>
              <w:t>年</w:t>
            </w:r>
          </w:p>
        </w:tc>
      </w:tr>
      <w:tr w:rsidR="00DA0843" w:rsidRPr="00844342">
        <w:trPr>
          <w:jc w:val="center"/>
        </w:trPr>
        <w:tc>
          <w:tcPr>
            <w:tcW w:w="2376" w:type="dxa"/>
            <w:vAlign w:val="center"/>
          </w:tcPr>
          <w:p w:rsidR="00DA0843" w:rsidRPr="002F5AE3" w:rsidRDefault="00DA0843" w:rsidP="008D4B5F">
            <w:pPr>
              <w:spacing w:beforeLines="50"/>
              <w:jc w:val="center"/>
              <w:rPr>
                <w:rFonts w:ascii="Arial" w:eastAsia="楷体_GB2312" w:hAnsi="Arial" w:cs="Times New Roman"/>
              </w:rPr>
            </w:pPr>
            <w:r w:rsidRPr="002F5AE3">
              <w:rPr>
                <w:rFonts w:ascii="Arial" w:eastAsia="楷体_GB2312" w:hAnsi="Arial" w:cs="楷体_GB2312" w:hint="eastAsia"/>
              </w:rPr>
              <w:t>江苏省高管薪酬平均值</w:t>
            </w:r>
          </w:p>
        </w:tc>
        <w:tc>
          <w:tcPr>
            <w:tcW w:w="1229" w:type="dxa"/>
            <w:vAlign w:val="center"/>
          </w:tcPr>
          <w:p w:rsidR="00DA0843" w:rsidRPr="002F5AE3" w:rsidRDefault="00DA0843" w:rsidP="008D4B5F">
            <w:pPr>
              <w:spacing w:beforeLines="50"/>
              <w:jc w:val="center"/>
              <w:rPr>
                <w:rFonts w:ascii="Arial" w:eastAsia="楷体_GB2312" w:hAnsi="Arial" w:cs="Arial"/>
              </w:rPr>
            </w:pPr>
            <w:r w:rsidRPr="002F5AE3">
              <w:rPr>
                <w:rFonts w:ascii="Arial" w:eastAsia="楷体_GB2312" w:hAnsi="Arial" w:cs="Arial"/>
              </w:rPr>
              <w:t>37.33</w:t>
            </w:r>
          </w:p>
        </w:tc>
        <w:tc>
          <w:tcPr>
            <w:tcW w:w="1229" w:type="dxa"/>
            <w:vAlign w:val="center"/>
          </w:tcPr>
          <w:p w:rsidR="00DA0843" w:rsidRPr="002F5AE3" w:rsidRDefault="00DA0843" w:rsidP="008D4B5F">
            <w:pPr>
              <w:spacing w:beforeLines="50"/>
              <w:jc w:val="center"/>
              <w:rPr>
                <w:rFonts w:ascii="Arial" w:eastAsia="楷体_GB2312" w:hAnsi="Arial" w:cs="Arial"/>
              </w:rPr>
            </w:pPr>
            <w:r w:rsidRPr="002F5AE3">
              <w:rPr>
                <w:rFonts w:ascii="Arial" w:eastAsia="楷体_GB2312" w:hAnsi="Arial" w:cs="Arial"/>
              </w:rPr>
              <w:t>40.63</w:t>
            </w:r>
          </w:p>
        </w:tc>
        <w:tc>
          <w:tcPr>
            <w:tcW w:w="1229" w:type="dxa"/>
            <w:vAlign w:val="center"/>
          </w:tcPr>
          <w:p w:rsidR="00DA0843" w:rsidRPr="002F5AE3" w:rsidRDefault="00DA0843" w:rsidP="008D4B5F">
            <w:pPr>
              <w:spacing w:beforeLines="50"/>
              <w:jc w:val="center"/>
              <w:rPr>
                <w:rFonts w:ascii="Arial" w:eastAsia="楷体_GB2312" w:hAnsi="Arial" w:cs="Arial"/>
              </w:rPr>
            </w:pPr>
            <w:r w:rsidRPr="002F5AE3">
              <w:rPr>
                <w:rFonts w:ascii="Arial" w:eastAsia="楷体_GB2312" w:hAnsi="Arial" w:cs="Arial"/>
              </w:rPr>
              <w:t>50.45</w:t>
            </w:r>
          </w:p>
        </w:tc>
        <w:tc>
          <w:tcPr>
            <w:tcW w:w="1229" w:type="dxa"/>
            <w:vAlign w:val="center"/>
          </w:tcPr>
          <w:p w:rsidR="00DA0843" w:rsidRPr="002F5AE3" w:rsidRDefault="00DA0843" w:rsidP="008D4B5F">
            <w:pPr>
              <w:spacing w:beforeLines="50"/>
              <w:jc w:val="center"/>
              <w:rPr>
                <w:rFonts w:ascii="Arial" w:eastAsia="楷体_GB2312" w:hAnsi="Arial" w:cs="Arial"/>
              </w:rPr>
            </w:pPr>
            <w:r w:rsidRPr="002F5AE3">
              <w:rPr>
                <w:rFonts w:ascii="Arial" w:eastAsia="楷体_GB2312" w:hAnsi="Arial" w:cs="Arial"/>
              </w:rPr>
              <w:t>55.24</w:t>
            </w:r>
          </w:p>
        </w:tc>
        <w:tc>
          <w:tcPr>
            <w:tcW w:w="1230" w:type="dxa"/>
            <w:vAlign w:val="center"/>
          </w:tcPr>
          <w:p w:rsidR="00DA0843" w:rsidRPr="002F5AE3" w:rsidRDefault="00DA0843" w:rsidP="008D4B5F">
            <w:pPr>
              <w:spacing w:beforeLines="50"/>
              <w:jc w:val="center"/>
              <w:rPr>
                <w:rFonts w:ascii="Arial" w:eastAsia="楷体_GB2312" w:hAnsi="Arial" w:cs="Arial"/>
              </w:rPr>
            </w:pPr>
            <w:r w:rsidRPr="002F5AE3">
              <w:rPr>
                <w:rFonts w:ascii="Arial" w:eastAsia="楷体_GB2312" w:hAnsi="Arial" w:cs="Arial"/>
              </w:rPr>
              <w:t>57.69</w:t>
            </w:r>
          </w:p>
        </w:tc>
      </w:tr>
      <w:tr w:rsidR="00DA0843" w:rsidRPr="00844342">
        <w:trPr>
          <w:jc w:val="center"/>
        </w:trPr>
        <w:tc>
          <w:tcPr>
            <w:tcW w:w="2376" w:type="dxa"/>
            <w:vAlign w:val="center"/>
          </w:tcPr>
          <w:p w:rsidR="00DA0843" w:rsidRPr="002F5AE3" w:rsidRDefault="00DA0843" w:rsidP="008D4B5F">
            <w:pPr>
              <w:spacing w:beforeLines="50"/>
              <w:jc w:val="center"/>
              <w:rPr>
                <w:rFonts w:ascii="Arial" w:eastAsia="楷体_GB2312" w:hAnsi="Arial" w:cs="Times New Roman"/>
              </w:rPr>
            </w:pPr>
            <w:r w:rsidRPr="002F5AE3">
              <w:rPr>
                <w:rFonts w:ascii="Arial" w:eastAsia="楷体_GB2312" w:hAnsi="Arial" w:cs="楷体_GB2312" w:hint="eastAsia"/>
              </w:rPr>
              <w:t>全国高管薪酬平均值</w:t>
            </w:r>
          </w:p>
        </w:tc>
        <w:tc>
          <w:tcPr>
            <w:tcW w:w="1229" w:type="dxa"/>
            <w:vAlign w:val="center"/>
          </w:tcPr>
          <w:p w:rsidR="00DA0843" w:rsidRPr="002F5AE3" w:rsidRDefault="00DA0843" w:rsidP="008D4B5F">
            <w:pPr>
              <w:spacing w:beforeLines="50"/>
              <w:jc w:val="center"/>
              <w:rPr>
                <w:rFonts w:ascii="Arial" w:eastAsia="楷体_GB2312" w:hAnsi="Arial" w:cs="Arial"/>
              </w:rPr>
            </w:pPr>
            <w:r w:rsidRPr="002F5AE3">
              <w:rPr>
                <w:rFonts w:ascii="Arial" w:eastAsia="楷体_GB2312" w:hAnsi="Arial" w:cs="Arial"/>
              </w:rPr>
              <w:t>44.75</w:t>
            </w:r>
          </w:p>
        </w:tc>
        <w:tc>
          <w:tcPr>
            <w:tcW w:w="1229" w:type="dxa"/>
            <w:vAlign w:val="center"/>
          </w:tcPr>
          <w:p w:rsidR="00DA0843" w:rsidRPr="002F5AE3" w:rsidRDefault="00DA0843" w:rsidP="008D4B5F">
            <w:pPr>
              <w:spacing w:beforeLines="50"/>
              <w:jc w:val="center"/>
              <w:rPr>
                <w:rFonts w:ascii="Arial" w:eastAsia="楷体_GB2312" w:hAnsi="Arial" w:cs="Arial"/>
              </w:rPr>
            </w:pPr>
            <w:r w:rsidRPr="002F5AE3">
              <w:rPr>
                <w:rFonts w:ascii="Arial" w:eastAsia="楷体_GB2312" w:hAnsi="Arial" w:cs="Arial"/>
              </w:rPr>
              <w:t>46.30</w:t>
            </w:r>
          </w:p>
        </w:tc>
        <w:tc>
          <w:tcPr>
            <w:tcW w:w="1229" w:type="dxa"/>
            <w:vAlign w:val="center"/>
          </w:tcPr>
          <w:p w:rsidR="00DA0843" w:rsidRPr="002F5AE3" w:rsidRDefault="00DA0843" w:rsidP="008D4B5F">
            <w:pPr>
              <w:spacing w:beforeLines="50"/>
              <w:jc w:val="center"/>
              <w:rPr>
                <w:rFonts w:ascii="Arial" w:eastAsia="楷体_GB2312" w:hAnsi="Arial" w:cs="Arial"/>
              </w:rPr>
            </w:pPr>
            <w:r w:rsidRPr="002F5AE3">
              <w:rPr>
                <w:rFonts w:ascii="Arial" w:eastAsia="楷体_GB2312" w:hAnsi="Arial" w:cs="Arial"/>
              </w:rPr>
              <w:t>59.57</w:t>
            </w:r>
          </w:p>
        </w:tc>
        <w:tc>
          <w:tcPr>
            <w:tcW w:w="1229" w:type="dxa"/>
            <w:vAlign w:val="center"/>
          </w:tcPr>
          <w:p w:rsidR="00DA0843" w:rsidRPr="002F5AE3" w:rsidRDefault="00DA0843" w:rsidP="008D4B5F">
            <w:pPr>
              <w:spacing w:beforeLines="50"/>
              <w:jc w:val="center"/>
              <w:rPr>
                <w:rFonts w:ascii="Arial" w:eastAsia="楷体_GB2312" w:hAnsi="Arial" w:cs="Arial"/>
              </w:rPr>
            </w:pPr>
            <w:r w:rsidRPr="002F5AE3">
              <w:rPr>
                <w:rFonts w:ascii="Arial" w:eastAsia="楷体_GB2312" w:hAnsi="Arial" w:cs="Arial"/>
              </w:rPr>
              <w:t>62.38</w:t>
            </w:r>
          </w:p>
        </w:tc>
        <w:tc>
          <w:tcPr>
            <w:tcW w:w="1230" w:type="dxa"/>
            <w:vAlign w:val="center"/>
          </w:tcPr>
          <w:p w:rsidR="00DA0843" w:rsidRPr="002F5AE3" w:rsidRDefault="00DA0843" w:rsidP="008D4B5F">
            <w:pPr>
              <w:spacing w:beforeLines="50"/>
              <w:jc w:val="center"/>
              <w:rPr>
                <w:rFonts w:ascii="Arial" w:eastAsia="楷体_GB2312" w:hAnsi="Arial" w:cs="Arial"/>
              </w:rPr>
            </w:pPr>
            <w:r w:rsidRPr="002F5AE3">
              <w:rPr>
                <w:rFonts w:ascii="Arial" w:eastAsia="楷体_GB2312" w:hAnsi="Arial" w:cs="Arial"/>
              </w:rPr>
              <w:t>64.26</w:t>
            </w:r>
          </w:p>
        </w:tc>
      </w:tr>
    </w:tbl>
    <w:p w:rsidR="00DA0843" w:rsidRPr="00844342" w:rsidRDefault="00DA0843" w:rsidP="00DA0843">
      <w:pPr>
        <w:spacing w:beforeLines="50"/>
        <w:ind w:firstLineChars="200" w:firstLine="31680"/>
        <w:rPr>
          <w:rFonts w:ascii="Arial" w:eastAsia="楷体_GB2312" w:hAnsi="Arial" w:cs="Times New Roman"/>
        </w:rPr>
      </w:pPr>
      <w:r w:rsidRPr="00844342">
        <w:rPr>
          <w:rFonts w:ascii="Arial" w:eastAsia="楷体_GB2312" w:hAnsi="Arial" w:cs="楷体_GB2312" w:hint="eastAsia"/>
        </w:rPr>
        <w:t>同全国相比，尽管江苏省地区经济在全国位居前列，但江苏地区上市公司高管薪酬水平低于全国平均水平。这与整</w:t>
      </w:r>
      <w:r>
        <w:rPr>
          <w:rFonts w:ascii="Arial" w:eastAsia="楷体_GB2312" w:hAnsi="Arial" w:cs="楷体_GB2312" w:hint="eastAsia"/>
        </w:rPr>
        <w:t>体经济发展速度不相适应，人力资本的价值体现不足，长此以往可能影响企业的治理和发展</w:t>
      </w:r>
      <w:r w:rsidRPr="00844342">
        <w:rPr>
          <w:rFonts w:ascii="Arial" w:eastAsia="楷体_GB2312" w:hAnsi="Arial" w:cs="楷体_GB2312" w:hint="eastAsia"/>
        </w:rPr>
        <w:t>。</w:t>
      </w:r>
    </w:p>
    <w:p w:rsidR="00DA0843" w:rsidRPr="00EF298D" w:rsidRDefault="00DA0843" w:rsidP="008D4B5F">
      <w:pPr>
        <w:spacing w:beforeLines="50"/>
        <w:outlineLvl w:val="1"/>
        <w:rPr>
          <w:rFonts w:ascii="Arial" w:eastAsia="楷体_GB2312" w:hAnsi="Arial" w:cs="Times New Roman"/>
          <w:b/>
          <w:bCs/>
          <w:sz w:val="22"/>
          <w:szCs w:val="22"/>
        </w:rPr>
      </w:pPr>
      <w:r>
        <w:rPr>
          <w:rFonts w:ascii="Arial" w:eastAsia="楷体_GB2312" w:hAnsi="Arial" w:cs="楷体_GB2312" w:hint="eastAsia"/>
          <w:b/>
          <w:bCs/>
          <w:sz w:val="22"/>
          <w:szCs w:val="22"/>
        </w:rPr>
        <w:t>分位水平：江苏</w:t>
      </w:r>
      <w:r w:rsidRPr="00EF298D">
        <w:rPr>
          <w:rFonts w:ascii="Arial" w:eastAsia="楷体_GB2312" w:hAnsi="Arial" w:cs="楷体_GB2312" w:hint="eastAsia"/>
          <w:b/>
          <w:bCs/>
          <w:sz w:val="22"/>
          <w:szCs w:val="22"/>
        </w:rPr>
        <w:t>高管薪酬总额增长不均匀，马太效应持续</w:t>
      </w:r>
    </w:p>
    <w:p w:rsidR="00DA0843" w:rsidRDefault="00DA0843" w:rsidP="00CD4E43">
      <w:pPr>
        <w:spacing w:beforeLines="50"/>
        <w:ind w:firstLineChars="196" w:firstLine="31680"/>
        <w:rPr>
          <w:rFonts w:ascii="Arial" w:eastAsia="楷体_GB2312" w:hAnsi="Arial" w:cs="Times New Roman"/>
        </w:rPr>
      </w:pPr>
      <w:bookmarkStart w:id="3" w:name="_Toc332381629"/>
      <w:r w:rsidRPr="001375FF">
        <w:rPr>
          <w:rFonts w:ascii="Arial" w:eastAsia="楷体_GB2312" w:hAnsi="Arial" w:cs="Arial"/>
        </w:rPr>
        <w:t>2008</w:t>
      </w:r>
      <w:r w:rsidRPr="001375FF">
        <w:rPr>
          <w:rFonts w:ascii="Arial" w:eastAsia="楷体_GB2312" w:hAnsi="Arial" w:cs="楷体_GB2312" w:hint="eastAsia"/>
        </w:rPr>
        <w:t>年到</w:t>
      </w:r>
      <w:r w:rsidRPr="001375FF">
        <w:rPr>
          <w:rFonts w:ascii="Arial" w:eastAsia="楷体_GB2312" w:hAnsi="Arial" w:cs="Arial"/>
        </w:rPr>
        <w:t>201</w:t>
      </w:r>
      <w:r>
        <w:rPr>
          <w:rFonts w:ascii="Arial" w:eastAsia="楷体_GB2312" w:hAnsi="Arial" w:cs="Arial"/>
        </w:rPr>
        <w:t>2</w:t>
      </w:r>
      <w:r w:rsidRPr="001375FF">
        <w:rPr>
          <w:rFonts w:ascii="Arial" w:eastAsia="楷体_GB2312" w:hAnsi="Arial" w:cs="楷体_GB2312" w:hint="eastAsia"/>
        </w:rPr>
        <w:t>年，</w:t>
      </w:r>
      <w:r>
        <w:rPr>
          <w:rFonts w:ascii="Arial" w:eastAsia="楷体_GB2312" w:hAnsi="Arial" w:cs="楷体_GB2312" w:hint="eastAsia"/>
        </w:rPr>
        <w:t>江苏省</w:t>
      </w:r>
      <w:r w:rsidRPr="001375FF">
        <w:rPr>
          <w:rFonts w:ascii="Arial" w:eastAsia="楷体_GB2312" w:hAnsi="Arial" w:cs="楷体_GB2312" w:hint="eastAsia"/>
        </w:rPr>
        <w:t>上市公司</w:t>
      </w:r>
      <w:r>
        <w:rPr>
          <w:rFonts w:ascii="Arial" w:eastAsia="楷体_GB2312" w:hAnsi="Arial" w:cs="Arial"/>
        </w:rPr>
        <w:t>50</w:t>
      </w:r>
      <w:r>
        <w:rPr>
          <w:rFonts w:ascii="Arial" w:eastAsia="楷体_GB2312" w:hAnsi="Arial" w:cs="楷体_GB2312" w:hint="eastAsia"/>
        </w:rPr>
        <w:t>分位以下的高管薪酬上升幅度较为平稳</w:t>
      </w:r>
      <w:r w:rsidRPr="001375FF">
        <w:rPr>
          <w:rFonts w:ascii="Arial" w:eastAsia="楷体_GB2312" w:hAnsi="Arial" w:cs="楷体_GB2312" w:hint="eastAsia"/>
        </w:rPr>
        <w:t>，</w:t>
      </w:r>
      <w:r>
        <w:rPr>
          <w:rFonts w:ascii="Arial" w:eastAsia="楷体_GB2312" w:hAnsi="Arial" w:cs="Arial"/>
        </w:rPr>
        <w:t>50</w:t>
      </w:r>
      <w:r>
        <w:rPr>
          <w:rFonts w:ascii="Arial" w:eastAsia="楷体_GB2312" w:hAnsi="Arial" w:cs="楷体_GB2312" w:hint="eastAsia"/>
        </w:rPr>
        <w:t>分位以上的高管薪酬增幅逐步加大，尤其是</w:t>
      </w:r>
      <w:r>
        <w:rPr>
          <w:rFonts w:ascii="Arial" w:eastAsia="楷体_GB2312" w:hAnsi="Arial" w:cs="Arial"/>
        </w:rPr>
        <w:t>75</w:t>
      </w:r>
      <w:r>
        <w:rPr>
          <w:rFonts w:ascii="Arial" w:eastAsia="楷体_GB2312" w:hAnsi="Arial" w:cs="楷体_GB2312" w:hint="eastAsia"/>
        </w:rPr>
        <w:t>分位以上</w:t>
      </w:r>
      <w:r w:rsidRPr="001375FF">
        <w:rPr>
          <w:rFonts w:ascii="Arial" w:eastAsia="楷体_GB2312" w:hAnsi="Arial" w:cs="楷体_GB2312" w:hint="eastAsia"/>
        </w:rPr>
        <w:t>的高管薪酬增幅更为明显</w:t>
      </w:r>
      <w:r>
        <w:rPr>
          <w:rFonts w:ascii="Arial" w:eastAsia="楷体_GB2312" w:hAnsi="Arial" w:cs="楷体_GB2312" w:hint="eastAsia"/>
        </w:rPr>
        <w:t>。</w:t>
      </w:r>
    </w:p>
    <w:p w:rsidR="00DA0843" w:rsidRDefault="00DA0843" w:rsidP="00370B4F">
      <w:pPr>
        <w:spacing w:beforeLines="50"/>
        <w:ind w:firstLineChars="196" w:firstLine="31680"/>
        <w:rPr>
          <w:rFonts w:ascii="Arial" w:eastAsia="楷体_GB2312" w:hAnsi="Arial" w:cs="Times New Roman"/>
        </w:rPr>
      </w:pPr>
      <w:r w:rsidRPr="00F42B3D">
        <w:rPr>
          <w:rFonts w:ascii="Arial" w:eastAsia="楷体_GB2312" w:hAnsi="Arial" w:cs="楷体_GB2312" w:hint="eastAsia"/>
        </w:rPr>
        <w:t>从</w:t>
      </w:r>
      <w:r>
        <w:rPr>
          <w:rFonts w:ascii="Arial" w:eastAsia="楷体_GB2312" w:hAnsi="Arial" w:cs="楷体_GB2312" w:hint="eastAsia"/>
        </w:rPr>
        <w:t>高管薪酬极值情况来看，</w:t>
      </w:r>
      <w:r>
        <w:rPr>
          <w:rFonts w:ascii="Arial" w:eastAsia="楷体_GB2312" w:hAnsi="Arial" w:cs="Arial"/>
        </w:rPr>
        <w:t>2008</w:t>
      </w:r>
      <w:r>
        <w:rPr>
          <w:rFonts w:ascii="Arial" w:eastAsia="楷体_GB2312" w:hAnsi="Arial" w:cs="楷体_GB2312" w:hint="eastAsia"/>
        </w:rPr>
        <w:t>至</w:t>
      </w:r>
      <w:r>
        <w:rPr>
          <w:rFonts w:ascii="Arial" w:eastAsia="楷体_GB2312" w:hAnsi="Arial" w:cs="Arial"/>
        </w:rPr>
        <w:t>2012</w:t>
      </w:r>
      <w:r>
        <w:rPr>
          <w:rFonts w:ascii="Arial" w:eastAsia="楷体_GB2312" w:hAnsi="Arial" w:cs="楷体_GB2312" w:hint="eastAsia"/>
        </w:rPr>
        <w:t>年江苏省上市公司高管年薪最高值波动较大，</w:t>
      </w:r>
      <w:r>
        <w:rPr>
          <w:rFonts w:ascii="Arial" w:eastAsia="楷体_GB2312" w:hAnsi="Arial" w:cs="Arial"/>
        </w:rPr>
        <w:t>2008</w:t>
      </w:r>
      <w:r>
        <w:rPr>
          <w:rFonts w:ascii="Arial" w:eastAsia="楷体_GB2312" w:hAnsi="Arial" w:cs="楷体_GB2312" w:hint="eastAsia"/>
        </w:rPr>
        <w:t>年高管年薪最高值为</w:t>
      </w:r>
      <w:r>
        <w:rPr>
          <w:rFonts w:ascii="Arial" w:eastAsia="楷体_GB2312" w:hAnsi="Arial" w:cs="Arial"/>
        </w:rPr>
        <w:t>255.14</w:t>
      </w:r>
      <w:r>
        <w:rPr>
          <w:rFonts w:ascii="Arial" w:eastAsia="楷体_GB2312" w:hAnsi="Arial" w:cs="楷体_GB2312" w:hint="eastAsia"/>
        </w:rPr>
        <w:t>万元，</w:t>
      </w:r>
      <w:r>
        <w:rPr>
          <w:rFonts w:ascii="Arial" w:eastAsia="楷体_GB2312" w:hAnsi="Arial" w:cs="Arial"/>
        </w:rPr>
        <w:t>2009</w:t>
      </w:r>
      <w:r>
        <w:rPr>
          <w:rFonts w:ascii="Arial" w:eastAsia="楷体_GB2312" w:hAnsi="Arial" w:cs="楷体_GB2312" w:hint="eastAsia"/>
        </w:rPr>
        <w:t>年则降至</w:t>
      </w:r>
      <w:r>
        <w:rPr>
          <w:rFonts w:ascii="Arial" w:eastAsia="楷体_GB2312" w:hAnsi="Arial" w:cs="Arial"/>
        </w:rPr>
        <w:t>178.21</w:t>
      </w:r>
      <w:r>
        <w:rPr>
          <w:rFonts w:ascii="Arial" w:eastAsia="楷体_GB2312" w:hAnsi="Arial" w:cs="楷体_GB2312" w:hint="eastAsia"/>
        </w:rPr>
        <w:t>万元，在</w:t>
      </w:r>
      <w:r>
        <w:rPr>
          <w:rFonts w:ascii="Arial" w:eastAsia="楷体_GB2312" w:hAnsi="Arial" w:cs="Arial"/>
        </w:rPr>
        <w:t>2010</w:t>
      </w:r>
      <w:r>
        <w:rPr>
          <w:rFonts w:ascii="Arial" w:eastAsia="楷体_GB2312" w:hAnsi="Arial" w:cs="楷体_GB2312" w:hint="eastAsia"/>
        </w:rPr>
        <w:t>年回升到</w:t>
      </w:r>
      <w:r>
        <w:rPr>
          <w:rFonts w:ascii="Arial" w:eastAsia="楷体_GB2312" w:hAnsi="Arial" w:cs="Arial"/>
        </w:rPr>
        <w:t>245.58</w:t>
      </w:r>
      <w:r>
        <w:rPr>
          <w:rFonts w:ascii="Arial" w:eastAsia="楷体_GB2312" w:hAnsi="Arial" w:cs="楷体_GB2312" w:hint="eastAsia"/>
        </w:rPr>
        <w:t>万元后又于</w:t>
      </w:r>
      <w:r>
        <w:rPr>
          <w:rFonts w:ascii="Arial" w:eastAsia="楷体_GB2312" w:hAnsi="Arial" w:cs="Arial"/>
        </w:rPr>
        <w:t>2011</w:t>
      </w:r>
      <w:r>
        <w:rPr>
          <w:rFonts w:ascii="Arial" w:eastAsia="楷体_GB2312" w:hAnsi="Arial" w:cs="楷体_GB2312" w:hint="eastAsia"/>
        </w:rPr>
        <w:t>年小幅回落至</w:t>
      </w:r>
      <w:r>
        <w:rPr>
          <w:rFonts w:ascii="Arial" w:eastAsia="楷体_GB2312" w:hAnsi="Arial" w:cs="Arial"/>
        </w:rPr>
        <w:t>240</w:t>
      </w:r>
      <w:r>
        <w:rPr>
          <w:rFonts w:ascii="Arial" w:eastAsia="楷体_GB2312" w:hAnsi="Arial" w:cs="楷体_GB2312" w:hint="eastAsia"/>
        </w:rPr>
        <w:t>万元，</w:t>
      </w:r>
      <w:r>
        <w:rPr>
          <w:rFonts w:ascii="Arial" w:eastAsia="楷体_GB2312" w:hAnsi="Arial" w:cs="Arial"/>
        </w:rPr>
        <w:t>2012</w:t>
      </w:r>
      <w:r>
        <w:rPr>
          <w:rFonts w:ascii="Arial" w:eastAsia="楷体_GB2312" w:hAnsi="Arial" w:cs="楷体_GB2312" w:hint="eastAsia"/>
        </w:rPr>
        <w:t>年最高值为</w:t>
      </w:r>
      <w:r>
        <w:rPr>
          <w:rFonts w:ascii="Arial" w:eastAsia="楷体_GB2312" w:hAnsi="Arial" w:cs="Arial"/>
        </w:rPr>
        <w:t>253</w:t>
      </w:r>
      <w:r>
        <w:rPr>
          <w:rFonts w:ascii="Arial" w:eastAsia="楷体_GB2312" w:hAnsi="Arial" w:cs="楷体_GB2312" w:hint="eastAsia"/>
        </w:rPr>
        <w:t>万元。</w:t>
      </w:r>
    </w:p>
    <w:p w:rsidR="00DA0843" w:rsidRPr="00035403" w:rsidRDefault="00DA0843" w:rsidP="00A83D19">
      <w:pPr>
        <w:jc w:val="center"/>
        <w:rPr>
          <w:rFonts w:ascii="Arial" w:eastAsia="楷体_GB2312" w:hAnsi="Arial" w:cs="Arial"/>
          <w:b/>
          <w:bCs/>
        </w:rPr>
      </w:pPr>
      <w:r>
        <w:rPr>
          <w:rFonts w:ascii="Arial" w:eastAsia="楷体_GB2312" w:hAnsi="Arial" w:cs="Arial"/>
          <w:b/>
          <w:bCs/>
        </w:rPr>
        <w:t>2012</w:t>
      </w:r>
      <w:r w:rsidRPr="00035403">
        <w:rPr>
          <w:rFonts w:ascii="Arial" w:eastAsia="楷体_GB2312" w:hAnsi="Arial" w:cs="楷体_GB2312" w:hint="eastAsia"/>
          <w:b/>
          <w:bCs/>
        </w:rPr>
        <w:t>年</w:t>
      </w:r>
      <w:r>
        <w:rPr>
          <w:rFonts w:ascii="Arial" w:eastAsia="楷体_GB2312" w:hAnsi="Arial" w:cs="楷体_GB2312" w:hint="eastAsia"/>
          <w:b/>
          <w:bCs/>
        </w:rPr>
        <w:t>江苏省</w:t>
      </w:r>
      <w:r w:rsidRPr="00035403">
        <w:rPr>
          <w:rFonts w:ascii="Arial" w:eastAsia="楷体_GB2312" w:hAnsi="Arial" w:cs="楷体_GB2312" w:hint="eastAsia"/>
          <w:b/>
          <w:bCs/>
        </w:rPr>
        <w:t>上市公司总经理薪酬排名前</w:t>
      </w:r>
      <w:r w:rsidRPr="00035403">
        <w:rPr>
          <w:rFonts w:ascii="Arial" w:eastAsia="楷体_GB2312" w:hAnsi="Arial" w:cs="Arial"/>
          <w:b/>
          <w:bCs/>
        </w:rPr>
        <w:t>10</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134"/>
        <w:gridCol w:w="1701"/>
        <w:gridCol w:w="992"/>
        <w:gridCol w:w="992"/>
        <w:gridCol w:w="1843"/>
        <w:gridCol w:w="709"/>
        <w:gridCol w:w="1417"/>
      </w:tblGrid>
      <w:tr w:rsidR="00DA0843" w:rsidRPr="00035403">
        <w:trPr>
          <w:trHeight w:val="555"/>
        </w:trPr>
        <w:tc>
          <w:tcPr>
            <w:tcW w:w="993" w:type="dxa"/>
            <w:shd w:val="clear" w:color="000000" w:fill="92D050"/>
            <w:vAlign w:val="center"/>
          </w:tcPr>
          <w:p w:rsidR="00DA0843" w:rsidRPr="00B658A6" w:rsidRDefault="00DA0843" w:rsidP="00DE2C55">
            <w:pPr>
              <w:widowControl/>
              <w:jc w:val="center"/>
              <w:rPr>
                <w:rFonts w:ascii="Arial" w:eastAsia="楷体_GB2312" w:hAnsi="Arial" w:cs="Times New Roman"/>
                <w:b/>
                <w:bCs/>
                <w:color w:val="000000"/>
                <w:kern w:val="0"/>
                <w:sz w:val="18"/>
                <w:szCs w:val="18"/>
              </w:rPr>
            </w:pPr>
            <w:r w:rsidRPr="00B658A6">
              <w:rPr>
                <w:rFonts w:ascii="Arial" w:eastAsia="楷体_GB2312" w:hAnsi="Arial" w:cs="楷体_GB2312" w:hint="eastAsia"/>
                <w:b/>
                <w:bCs/>
                <w:color w:val="000000"/>
                <w:kern w:val="0"/>
                <w:sz w:val="18"/>
                <w:szCs w:val="18"/>
              </w:rPr>
              <w:t>股票代码</w:t>
            </w:r>
          </w:p>
        </w:tc>
        <w:tc>
          <w:tcPr>
            <w:tcW w:w="1134" w:type="dxa"/>
            <w:shd w:val="clear" w:color="000000" w:fill="92D050"/>
            <w:vAlign w:val="center"/>
          </w:tcPr>
          <w:p w:rsidR="00DA0843" w:rsidRPr="00B658A6" w:rsidRDefault="00DA0843" w:rsidP="00DE2C55">
            <w:pPr>
              <w:widowControl/>
              <w:jc w:val="center"/>
              <w:rPr>
                <w:rFonts w:ascii="Arial" w:eastAsia="楷体_GB2312" w:hAnsi="Arial" w:cs="Times New Roman"/>
                <w:b/>
                <w:bCs/>
                <w:color w:val="000000"/>
                <w:kern w:val="0"/>
                <w:sz w:val="18"/>
                <w:szCs w:val="18"/>
              </w:rPr>
            </w:pPr>
            <w:r w:rsidRPr="00B658A6">
              <w:rPr>
                <w:rFonts w:ascii="Arial" w:eastAsia="楷体_GB2312" w:hAnsi="Arial" w:cs="楷体_GB2312" w:hint="eastAsia"/>
                <w:b/>
                <w:bCs/>
                <w:color w:val="000000"/>
                <w:kern w:val="0"/>
                <w:sz w:val="18"/>
                <w:szCs w:val="18"/>
              </w:rPr>
              <w:t>股票简称</w:t>
            </w:r>
          </w:p>
        </w:tc>
        <w:tc>
          <w:tcPr>
            <w:tcW w:w="1701" w:type="dxa"/>
            <w:shd w:val="clear" w:color="000000" w:fill="92D050"/>
            <w:vAlign w:val="center"/>
          </w:tcPr>
          <w:p w:rsidR="00DA0843" w:rsidRPr="00B658A6" w:rsidRDefault="00DA0843" w:rsidP="00DE2C55">
            <w:pPr>
              <w:widowControl/>
              <w:jc w:val="center"/>
              <w:rPr>
                <w:rFonts w:ascii="Arial" w:eastAsia="楷体_GB2312" w:hAnsi="Arial" w:cs="Times New Roman"/>
                <w:b/>
                <w:bCs/>
                <w:color w:val="000000"/>
                <w:kern w:val="0"/>
                <w:sz w:val="18"/>
                <w:szCs w:val="18"/>
              </w:rPr>
            </w:pPr>
            <w:r>
              <w:rPr>
                <w:rFonts w:ascii="Arial" w:eastAsia="楷体_GB2312" w:hAnsi="Arial" w:cs="楷体_GB2312" w:hint="eastAsia"/>
                <w:b/>
                <w:bCs/>
                <w:color w:val="000000"/>
                <w:kern w:val="0"/>
                <w:sz w:val="18"/>
                <w:szCs w:val="18"/>
              </w:rPr>
              <w:t>行业</w:t>
            </w:r>
          </w:p>
        </w:tc>
        <w:tc>
          <w:tcPr>
            <w:tcW w:w="992" w:type="dxa"/>
            <w:shd w:val="clear" w:color="000000" w:fill="92D050"/>
            <w:vAlign w:val="center"/>
          </w:tcPr>
          <w:p w:rsidR="00DA0843" w:rsidRPr="008E719E" w:rsidRDefault="00DA0843" w:rsidP="00DE2C55">
            <w:pPr>
              <w:widowControl/>
              <w:jc w:val="center"/>
              <w:rPr>
                <w:rFonts w:ascii="楷体_GB2312" w:eastAsia="楷体_GB2312" w:hAnsi="Arial" w:cs="Times New Roman"/>
                <w:b/>
                <w:bCs/>
                <w:color w:val="000000"/>
                <w:kern w:val="0"/>
                <w:sz w:val="18"/>
                <w:szCs w:val="18"/>
              </w:rPr>
            </w:pPr>
            <w:r w:rsidRPr="008E719E">
              <w:rPr>
                <w:rFonts w:ascii="楷体_GB2312" w:eastAsia="楷体_GB2312" w:hAnsi="Arial" w:cs="楷体_GB2312" w:hint="eastAsia"/>
                <w:b/>
                <w:bCs/>
                <w:color w:val="000000"/>
                <w:kern w:val="0"/>
                <w:sz w:val="18"/>
                <w:szCs w:val="18"/>
              </w:rPr>
              <w:t>所有制</w:t>
            </w:r>
          </w:p>
        </w:tc>
        <w:tc>
          <w:tcPr>
            <w:tcW w:w="992" w:type="dxa"/>
            <w:shd w:val="clear" w:color="000000" w:fill="92D050"/>
            <w:vAlign w:val="center"/>
          </w:tcPr>
          <w:p w:rsidR="00DA0843" w:rsidRPr="00B658A6" w:rsidRDefault="00DA0843" w:rsidP="00DE2C55">
            <w:pPr>
              <w:widowControl/>
              <w:jc w:val="center"/>
              <w:rPr>
                <w:rFonts w:ascii="Arial" w:eastAsia="楷体_GB2312" w:hAnsi="Arial" w:cs="Times New Roman"/>
                <w:b/>
                <w:bCs/>
                <w:color w:val="000000"/>
                <w:kern w:val="0"/>
                <w:sz w:val="18"/>
                <w:szCs w:val="18"/>
              </w:rPr>
            </w:pPr>
            <w:r w:rsidRPr="00B658A6">
              <w:rPr>
                <w:rFonts w:ascii="Arial" w:eastAsia="楷体_GB2312" w:hAnsi="Arial" w:cs="楷体_GB2312" w:hint="eastAsia"/>
                <w:b/>
                <w:bCs/>
                <w:color w:val="000000"/>
                <w:kern w:val="0"/>
                <w:sz w:val="18"/>
                <w:szCs w:val="18"/>
              </w:rPr>
              <w:t>姓名</w:t>
            </w:r>
          </w:p>
        </w:tc>
        <w:tc>
          <w:tcPr>
            <w:tcW w:w="1843" w:type="dxa"/>
            <w:shd w:val="clear" w:color="000000" w:fill="92D050"/>
            <w:vAlign w:val="center"/>
          </w:tcPr>
          <w:p w:rsidR="00DA0843" w:rsidRPr="00B658A6" w:rsidRDefault="00DA0843" w:rsidP="00DE2C55">
            <w:pPr>
              <w:widowControl/>
              <w:jc w:val="center"/>
              <w:rPr>
                <w:rFonts w:ascii="Arial" w:eastAsia="楷体_GB2312" w:hAnsi="Arial" w:cs="Times New Roman"/>
                <w:b/>
                <w:bCs/>
                <w:color w:val="000000"/>
                <w:kern w:val="0"/>
                <w:sz w:val="18"/>
                <w:szCs w:val="18"/>
              </w:rPr>
            </w:pPr>
            <w:r w:rsidRPr="00B658A6">
              <w:rPr>
                <w:rFonts w:ascii="Arial" w:eastAsia="楷体_GB2312" w:hAnsi="Arial" w:cs="楷体_GB2312" w:hint="eastAsia"/>
                <w:b/>
                <w:bCs/>
                <w:color w:val="000000"/>
                <w:kern w:val="0"/>
                <w:sz w:val="18"/>
                <w:szCs w:val="18"/>
              </w:rPr>
              <w:t>职务</w:t>
            </w:r>
          </w:p>
        </w:tc>
        <w:tc>
          <w:tcPr>
            <w:tcW w:w="709" w:type="dxa"/>
            <w:shd w:val="clear" w:color="000000" w:fill="92D050"/>
            <w:vAlign w:val="center"/>
          </w:tcPr>
          <w:p w:rsidR="00DA0843" w:rsidRPr="00B658A6" w:rsidRDefault="00DA0843" w:rsidP="00DE2C55">
            <w:pPr>
              <w:widowControl/>
              <w:jc w:val="center"/>
              <w:rPr>
                <w:rFonts w:ascii="Arial" w:eastAsia="楷体_GB2312" w:hAnsi="Arial" w:cs="Times New Roman"/>
                <w:b/>
                <w:bCs/>
                <w:color w:val="000000"/>
                <w:kern w:val="0"/>
                <w:sz w:val="18"/>
                <w:szCs w:val="18"/>
              </w:rPr>
            </w:pPr>
            <w:r w:rsidRPr="00B658A6">
              <w:rPr>
                <w:rFonts w:ascii="Arial" w:eastAsia="楷体_GB2312" w:hAnsi="Arial" w:cs="楷体_GB2312" w:hint="eastAsia"/>
                <w:b/>
                <w:bCs/>
                <w:color w:val="000000"/>
                <w:kern w:val="0"/>
                <w:sz w:val="18"/>
                <w:szCs w:val="18"/>
              </w:rPr>
              <w:t>性别</w:t>
            </w:r>
          </w:p>
        </w:tc>
        <w:tc>
          <w:tcPr>
            <w:tcW w:w="1417" w:type="dxa"/>
            <w:shd w:val="clear" w:color="000000" w:fill="92D050"/>
            <w:vAlign w:val="center"/>
          </w:tcPr>
          <w:p w:rsidR="00DA0843" w:rsidRPr="00B658A6" w:rsidRDefault="00DA0843" w:rsidP="00DE2C55">
            <w:pPr>
              <w:widowControl/>
              <w:jc w:val="center"/>
              <w:rPr>
                <w:rFonts w:ascii="Arial" w:eastAsia="楷体_GB2312" w:hAnsi="Arial" w:cs="Times New Roman"/>
                <w:b/>
                <w:bCs/>
                <w:color w:val="000000"/>
                <w:kern w:val="0"/>
                <w:sz w:val="18"/>
                <w:szCs w:val="18"/>
              </w:rPr>
            </w:pPr>
            <w:r w:rsidRPr="00B658A6">
              <w:rPr>
                <w:rFonts w:ascii="Arial" w:eastAsia="楷体_GB2312" w:hAnsi="Arial" w:cs="楷体_GB2312" w:hint="eastAsia"/>
                <w:b/>
                <w:bCs/>
                <w:color w:val="000000"/>
                <w:kern w:val="0"/>
                <w:sz w:val="18"/>
                <w:szCs w:val="18"/>
              </w:rPr>
              <w:t>合计：年度薪酬总额（万元）</w:t>
            </w:r>
          </w:p>
        </w:tc>
      </w:tr>
      <w:tr w:rsidR="00DA0843" w:rsidRPr="00035403">
        <w:trPr>
          <w:trHeight w:val="360"/>
        </w:trPr>
        <w:tc>
          <w:tcPr>
            <w:tcW w:w="993"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000425</w:t>
            </w:r>
          </w:p>
        </w:tc>
        <w:tc>
          <w:tcPr>
            <w:tcW w:w="1134"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徐工机械</w:t>
            </w:r>
          </w:p>
        </w:tc>
        <w:tc>
          <w:tcPr>
            <w:tcW w:w="1701"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制造业</w:t>
            </w:r>
          </w:p>
        </w:tc>
        <w:tc>
          <w:tcPr>
            <w:tcW w:w="992" w:type="dxa"/>
            <w:vAlign w:val="center"/>
          </w:tcPr>
          <w:p w:rsidR="00DA0843" w:rsidRPr="008E719E" w:rsidRDefault="00DA0843" w:rsidP="00DE2C55">
            <w:pPr>
              <w:jc w:val="center"/>
              <w:rPr>
                <w:rFonts w:ascii="楷体_GB2312" w:eastAsia="楷体_GB2312" w:hAnsi="Arial" w:cs="Times New Roman"/>
                <w:color w:val="000000"/>
                <w:sz w:val="20"/>
                <w:szCs w:val="20"/>
              </w:rPr>
            </w:pPr>
            <w:r w:rsidRPr="008E719E">
              <w:rPr>
                <w:rFonts w:ascii="楷体_GB2312" w:eastAsia="楷体_GB2312" w:hAnsi="Arial" w:cs="楷体_GB2312" w:hint="eastAsia"/>
                <w:color w:val="000000"/>
                <w:sz w:val="20"/>
                <w:szCs w:val="20"/>
              </w:rPr>
              <w:t>国有</w:t>
            </w:r>
          </w:p>
        </w:tc>
        <w:tc>
          <w:tcPr>
            <w:tcW w:w="992"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王民</w:t>
            </w:r>
          </w:p>
        </w:tc>
        <w:tc>
          <w:tcPr>
            <w:tcW w:w="1843"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董事长、总裁</w:t>
            </w:r>
          </w:p>
        </w:tc>
        <w:tc>
          <w:tcPr>
            <w:tcW w:w="709"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男</w:t>
            </w:r>
          </w:p>
        </w:tc>
        <w:tc>
          <w:tcPr>
            <w:tcW w:w="1417"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 xml:space="preserve">253.05 </w:t>
            </w:r>
          </w:p>
        </w:tc>
      </w:tr>
      <w:tr w:rsidR="00DA0843" w:rsidRPr="00035403">
        <w:trPr>
          <w:trHeight w:val="360"/>
        </w:trPr>
        <w:tc>
          <w:tcPr>
            <w:tcW w:w="993"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601688</w:t>
            </w:r>
          </w:p>
        </w:tc>
        <w:tc>
          <w:tcPr>
            <w:tcW w:w="1134"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华泰证券</w:t>
            </w:r>
          </w:p>
        </w:tc>
        <w:tc>
          <w:tcPr>
            <w:tcW w:w="1701"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金融、保险业</w:t>
            </w:r>
          </w:p>
        </w:tc>
        <w:tc>
          <w:tcPr>
            <w:tcW w:w="992" w:type="dxa"/>
            <w:vAlign w:val="center"/>
          </w:tcPr>
          <w:p w:rsidR="00DA0843" w:rsidRPr="008E719E" w:rsidRDefault="00DA0843" w:rsidP="00DE2C55">
            <w:pPr>
              <w:jc w:val="center"/>
              <w:rPr>
                <w:rFonts w:ascii="楷体_GB2312" w:eastAsia="楷体_GB2312" w:hAnsi="Arial" w:cs="Times New Roman"/>
                <w:color w:val="000000"/>
                <w:sz w:val="20"/>
                <w:szCs w:val="20"/>
              </w:rPr>
            </w:pPr>
            <w:r w:rsidRPr="008E719E">
              <w:rPr>
                <w:rFonts w:ascii="楷体_GB2312" w:eastAsia="楷体_GB2312" w:hAnsi="Arial" w:cs="楷体_GB2312" w:hint="eastAsia"/>
                <w:color w:val="000000"/>
                <w:sz w:val="20"/>
                <w:szCs w:val="20"/>
              </w:rPr>
              <w:t>国有</w:t>
            </w:r>
          </w:p>
        </w:tc>
        <w:tc>
          <w:tcPr>
            <w:tcW w:w="992"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周易</w:t>
            </w:r>
          </w:p>
        </w:tc>
        <w:tc>
          <w:tcPr>
            <w:tcW w:w="1843"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董事、总裁</w:t>
            </w:r>
          </w:p>
        </w:tc>
        <w:tc>
          <w:tcPr>
            <w:tcW w:w="709"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男</w:t>
            </w:r>
          </w:p>
        </w:tc>
        <w:tc>
          <w:tcPr>
            <w:tcW w:w="1417"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 xml:space="preserve">247.15 </w:t>
            </w:r>
          </w:p>
        </w:tc>
      </w:tr>
      <w:tr w:rsidR="00DA0843" w:rsidRPr="00035403">
        <w:trPr>
          <w:trHeight w:val="360"/>
        </w:trPr>
        <w:tc>
          <w:tcPr>
            <w:tcW w:w="993"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900950</w:t>
            </w:r>
          </w:p>
        </w:tc>
        <w:tc>
          <w:tcPr>
            <w:tcW w:w="1134"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新城</w:t>
            </w:r>
            <w:r w:rsidRPr="008E719E">
              <w:rPr>
                <w:rFonts w:ascii="Arial" w:eastAsia="楷体_GB2312" w:hAnsi="Arial" w:cs="Arial"/>
                <w:color w:val="000000"/>
                <w:sz w:val="20"/>
                <w:szCs w:val="20"/>
              </w:rPr>
              <w:t>B</w:t>
            </w:r>
            <w:r w:rsidRPr="008E719E">
              <w:rPr>
                <w:rFonts w:ascii="Arial" w:eastAsia="楷体_GB2312" w:hAnsi="Arial" w:cs="楷体_GB2312" w:hint="eastAsia"/>
                <w:color w:val="000000"/>
                <w:sz w:val="20"/>
                <w:szCs w:val="20"/>
              </w:rPr>
              <w:t>股</w:t>
            </w:r>
          </w:p>
        </w:tc>
        <w:tc>
          <w:tcPr>
            <w:tcW w:w="1701"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房地产业</w:t>
            </w:r>
          </w:p>
        </w:tc>
        <w:tc>
          <w:tcPr>
            <w:tcW w:w="992" w:type="dxa"/>
            <w:vAlign w:val="center"/>
          </w:tcPr>
          <w:p w:rsidR="00DA0843" w:rsidRPr="008E719E" w:rsidRDefault="00DA0843" w:rsidP="00DE2C55">
            <w:pPr>
              <w:jc w:val="center"/>
              <w:rPr>
                <w:rFonts w:ascii="楷体_GB2312" w:eastAsia="楷体_GB2312" w:hAnsi="Arial" w:cs="Times New Roman"/>
                <w:color w:val="000000"/>
                <w:sz w:val="20"/>
                <w:szCs w:val="20"/>
              </w:rPr>
            </w:pPr>
            <w:r w:rsidRPr="008E719E">
              <w:rPr>
                <w:rFonts w:ascii="楷体_GB2312" w:eastAsia="楷体_GB2312" w:hAnsi="Arial" w:cs="楷体_GB2312" w:hint="eastAsia"/>
                <w:color w:val="000000"/>
                <w:sz w:val="20"/>
                <w:szCs w:val="20"/>
              </w:rPr>
              <w:t>非国有</w:t>
            </w:r>
          </w:p>
        </w:tc>
        <w:tc>
          <w:tcPr>
            <w:tcW w:w="992"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吕小平</w:t>
            </w:r>
          </w:p>
        </w:tc>
        <w:tc>
          <w:tcPr>
            <w:tcW w:w="1843"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董事、总裁</w:t>
            </w:r>
          </w:p>
        </w:tc>
        <w:tc>
          <w:tcPr>
            <w:tcW w:w="709"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男</w:t>
            </w:r>
          </w:p>
        </w:tc>
        <w:tc>
          <w:tcPr>
            <w:tcW w:w="1417"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 xml:space="preserve">240.00 </w:t>
            </w:r>
          </w:p>
        </w:tc>
      </w:tr>
      <w:tr w:rsidR="00DA0843" w:rsidRPr="00035403">
        <w:trPr>
          <w:trHeight w:val="360"/>
        </w:trPr>
        <w:tc>
          <w:tcPr>
            <w:tcW w:w="993"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000418</w:t>
            </w:r>
          </w:p>
        </w:tc>
        <w:tc>
          <w:tcPr>
            <w:tcW w:w="1134"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楷体_GB2312" w:hint="eastAsia"/>
                <w:color w:val="000000"/>
                <w:sz w:val="20"/>
                <w:szCs w:val="20"/>
              </w:rPr>
              <w:t>小天鹅</w:t>
            </w:r>
            <w:r w:rsidRPr="008E719E">
              <w:rPr>
                <w:rFonts w:ascii="Arial" w:eastAsia="楷体_GB2312" w:hAnsi="Arial" w:cs="Arial"/>
                <w:color w:val="000000"/>
                <w:sz w:val="20"/>
                <w:szCs w:val="20"/>
              </w:rPr>
              <w:t>A</w:t>
            </w:r>
          </w:p>
        </w:tc>
        <w:tc>
          <w:tcPr>
            <w:tcW w:w="1701"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制造业</w:t>
            </w:r>
          </w:p>
        </w:tc>
        <w:tc>
          <w:tcPr>
            <w:tcW w:w="992" w:type="dxa"/>
            <w:vAlign w:val="center"/>
          </w:tcPr>
          <w:p w:rsidR="00DA0843" w:rsidRPr="008E719E" w:rsidRDefault="00DA0843" w:rsidP="00DE2C55">
            <w:pPr>
              <w:jc w:val="center"/>
              <w:rPr>
                <w:rFonts w:ascii="楷体_GB2312" w:eastAsia="楷体_GB2312" w:hAnsi="Arial" w:cs="Times New Roman"/>
                <w:color w:val="000000"/>
                <w:sz w:val="20"/>
                <w:szCs w:val="20"/>
              </w:rPr>
            </w:pPr>
            <w:r w:rsidRPr="008E719E">
              <w:rPr>
                <w:rFonts w:ascii="楷体_GB2312" w:eastAsia="楷体_GB2312" w:hAnsi="Arial" w:cs="楷体_GB2312" w:hint="eastAsia"/>
                <w:color w:val="000000"/>
                <w:sz w:val="20"/>
                <w:szCs w:val="20"/>
              </w:rPr>
              <w:t>非国有</w:t>
            </w:r>
          </w:p>
        </w:tc>
        <w:tc>
          <w:tcPr>
            <w:tcW w:w="992"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柴新建</w:t>
            </w:r>
          </w:p>
        </w:tc>
        <w:tc>
          <w:tcPr>
            <w:tcW w:w="1843"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董事、总经理</w:t>
            </w:r>
          </w:p>
        </w:tc>
        <w:tc>
          <w:tcPr>
            <w:tcW w:w="709"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男</w:t>
            </w:r>
          </w:p>
        </w:tc>
        <w:tc>
          <w:tcPr>
            <w:tcW w:w="1417"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 xml:space="preserve">205.00 </w:t>
            </w:r>
          </w:p>
        </w:tc>
      </w:tr>
      <w:tr w:rsidR="00DA0843" w:rsidRPr="00035403">
        <w:trPr>
          <w:trHeight w:val="360"/>
        </w:trPr>
        <w:tc>
          <w:tcPr>
            <w:tcW w:w="993"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601555</w:t>
            </w:r>
          </w:p>
        </w:tc>
        <w:tc>
          <w:tcPr>
            <w:tcW w:w="1134"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东吴证券</w:t>
            </w:r>
          </w:p>
        </w:tc>
        <w:tc>
          <w:tcPr>
            <w:tcW w:w="1701"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金融、保险业</w:t>
            </w:r>
          </w:p>
        </w:tc>
        <w:tc>
          <w:tcPr>
            <w:tcW w:w="992" w:type="dxa"/>
            <w:vAlign w:val="center"/>
          </w:tcPr>
          <w:p w:rsidR="00DA0843" w:rsidRPr="008E719E" w:rsidRDefault="00DA0843" w:rsidP="00DE2C55">
            <w:pPr>
              <w:jc w:val="center"/>
              <w:rPr>
                <w:rFonts w:ascii="楷体_GB2312" w:eastAsia="楷体_GB2312" w:hAnsi="Arial" w:cs="Times New Roman"/>
                <w:color w:val="000000"/>
                <w:sz w:val="20"/>
                <w:szCs w:val="20"/>
              </w:rPr>
            </w:pPr>
            <w:r w:rsidRPr="008E719E">
              <w:rPr>
                <w:rFonts w:ascii="楷体_GB2312" w:eastAsia="楷体_GB2312" w:hAnsi="Arial" w:cs="楷体_GB2312" w:hint="eastAsia"/>
                <w:color w:val="000000"/>
                <w:sz w:val="20"/>
                <w:szCs w:val="20"/>
              </w:rPr>
              <w:t>国有</w:t>
            </w:r>
          </w:p>
        </w:tc>
        <w:tc>
          <w:tcPr>
            <w:tcW w:w="992"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范力</w:t>
            </w:r>
          </w:p>
        </w:tc>
        <w:tc>
          <w:tcPr>
            <w:tcW w:w="1843"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董事、总裁</w:t>
            </w:r>
          </w:p>
        </w:tc>
        <w:tc>
          <w:tcPr>
            <w:tcW w:w="709"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男</w:t>
            </w:r>
          </w:p>
        </w:tc>
        <w:tc>
          <w:tcPr>
            <w:tcW w:w="1417" w:type="dxa"/>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 xml:space="preserve">198.00 </w:t>
            </w:r>
          </w:p>
        </w:tc>
      </w:tr>
      <w:tr w:rsidR="00DA0843" w:rsidRPr="00035403">
        <w:trPr>
          <w:trHeight w:val="360"/>
        </w:trPr>
        <w:tc>
          <w:tcPr>
            <w:tcW w:w="993"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300346</w:t>
            </w:r>
          </w:p>
        </w:tc>
        <w:tc>
          <w:tcPr>
            <w:tcW w:w="1134"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南大光电</w:t>
            </w:r>
          </w:p>
        </w:tc>
        <w:tc>
          <w:tcPr>
            <w:tcW w:w="1701"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制造业</w:t>
            </w:r>
          </w:p>
        </w:tc>
        <w:tc>
          <w:tcPr>
            <w:tcW w:w="992" w:type="dxa"/>
            <w:vAlign w:val="center"/>
          </w:tcPr>
          <w:p w:rsidR="00DA0843" w:rsidRPr="008E719E" w:rsidRDefault="00DA0843" w:rsidP="00DE2C55">
            <w:pPr>
              <w:jc w:val="center"/>
              <w:rPr>
                <w:rFonts w:ascii="楷体_GB2312" w:eastAsia="楷体_GB2312" w:hAnsi="Arial" w:cs="Times New Roman"/>
                <w:color w:val="000000"/>
                <w:sz w:val="20"/>
                <w:szCs w:val="20"/>
              </w:rPr>
            </w:pPr>
            <w:r w:rsidRPr="008E719E">
              <w:rPr>
                <w:rFonts w:ascii="楷体_GB2312" w:eastAsia="楷体_GB2312" w:hAnsi="Arial" w:cs="楷体_GB2312" w:hint="eastAsia"/>
                <w:color w:val="000000"/>
                <w:sz w:val="20"/>
                <w:szCs w:val="20"/>
              </w:rPr>
              <w:t>非国有</w:t>
            </w:r>
          </w:p>
        </w:tc>
        <w:tc>
          <w:tcPr>
            <w:tcW w:w="992"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李建华</w:t>
            </w:r>
          </w:p>
        </w:tc>
        <w:tc>
          <w:tcPr>
            <w:tcW w:w="1843"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总经理</w:t>
            </w:r>
          </w:p>
        </w:tc>
        <w:tc>
          <w:tcPr>
            <w:tcW w:w="709"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男</w:t>
            </w:r>
          </w:p>
        </w:tc>
        <w:tc>
          <w:tcPr>
            <w:tcW w:w="1417" w:type="dxa"/>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 xml:space="preserve">195.10 </w:t>
            </w:r>
          </w:p>
        </w:tc>
      </w:tr>
      <w:tr w:rsidR="00DA0843" w:rsidRPr="00035403">
        <w:trPr>
          <w:trHeight w:val="360"/>
        </w:trPr>
        <w:tc>
          <w:tcPr>
            <w:tcW w:w="993"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300295</w:t>
            </w:r>
          </w:p>
        </w:tc>
        <w:tc>
          <w:tcPr>
            <w:tcW w:w="1134"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三六五网</w:t>
            </w:r>
          </w:p>
        </w:tc>
        <w:tc>
          <w:tcPr>
            <w:tcW w:w="1701"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信息技术业</w:t>
            </w:r>
          </w:p>
        </w:tc>
        <w:tc>
          <w:tcPr>
            <w:tcW w:w="992" w:type="dxa"/>
            <w:vAlign w:val="center"/>
          </w:tcPr>
          <w:p w:rsidR="00DA0843" w:rsidRPr="008E719E" w:rsidRDefault="00DA0843" w:rsidP="00DE2C55">
            <w:pPr>
              <w:jc w:val="center"/>
              <w:rPr>
                <w:rFonts w:ascii="楷体_GB2312" w:eastAsia="楷体_GB2312" w:hAnsi="Arial" w:cs="Times New Roman"/>
                <w:color w:val="000000"/>
                <w:sz w:val="20"/>
                <w:szCs w:val="20"/>
              </w:rPr>
            </w:pPr>
            <w:r w:rsidRPr="008E719E">
              <w:rPr>
                <w:rFonts w:ascii="楷体_GB2312" w:eastAsia="楷体_GB2312" w:hAnsi="Arial" w:cs="楷体_GB2312" w:hint="eastAsia"/>
                <w:color w:val="000000"/>
                <w:sz w:val="20"/>
                <w:szCs w:val="20"/>
              </w:rPr>
              <w:t>非国有</w:t>
            </w:r>
          </w:p>
        </w:tc>
        <w:tc>
          <w:tcPr>
            <w:tcW w:w="992"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邢炜</w:t>
            </w:r>
          </w:p>
        </w:tc>
        <w:tc>
          <w:tcPr>
            <w:tcW w:w="1843"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董事、总经理</w:t>
            </w:r>
          </w:p>
        </w:tc>
        <w:tc>
          <w:tcPr>
            <w:tcW w:w="709"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男</w:t>
            </w:r>
          </w:p>
        </w:tc>
        <w:tc>
          <w:tcPr>
            <w:tcW w:w="1417"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 xml:space="preserve">176.54 </w:t>
            </w:r>
          </w:p>
        </w:tc>
      </w:tr>
      <w:tr w:rsidR="00DA0843" w:rsidRPr="00035403">
        <w:trPr>
          <w:trHeight w:val="360"/>
        </w:trPr>
        <w:tc>
          <w:tcPr>
            <w:tcW w:w="993"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000961</w:t>
            </w:r>
          </w:p>
        </w:tc>
        <w:tc>
          <w:tcPr>
            <w:tcW w:w="1134"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中南建设</w:t>
            </w:r>
          </w:p>
        </w:tc>
        <w:tc>
          <w:tcPr>
            <w:tcW w:w="1701"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建筑业</w:t>
            </w:r>
          </w:p>
        </w:tc>
        <w:tc>
          <w:tcPr>
            <w:tcW w:w="992" w:type="dxa"/>
            <w:vAlign w:val="center"/>
          </w:tcPr>
          <w:p w:rsidR="00DA0843" w:rsidRPr="008E719E" w:rsidRDefault="00DA0843" w:rsidP="00DE2C55">
            <w:pPr>
              <w:jc w:val="center"/>
              <w:rPr>
                <w:rFonts w:ascii="楷体_GB2312" w:eastAsia="楷体_GB2312" w:hAnsi="Arial" w:cs="Times New Roman"/>
                <w:color w:val="000000"/>
                <w:sz w:val="20"/>
                <w:szCs w:val="20"/>
              </w:rPr>
            </w:pPr>
            <w:r w:rsidRPr="008E719E">
              <w:rPr>
                <w:rFonts w:ascii="楷体_GB2312" w:eastAsia="楷体_GB2312" w:hAnsi="Arial" w:cs="楷体_GB2312" w:hint="eastAsia"/>
                <w:color w:val="000000"/>
                <w:sz w:val="20"/>
                <w:szCs w:val="20"/>
              </w:rPr>
              <w:t>非国有</w:t>
            </w:r>
          </w:p>
        </w:tc>
        <w:tc>
          <w:tcPr>
            <w:tcW w:w="992"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陈锦石</w:t>
            </w:r>
          </w:p>
        </w:tc>
        <w:tc>
          <w:tcPr>
            <w:tcW w:w="1843"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董事长、总经理</w:t>
            </w:r>
          </w:p>
        </w:tc>
        <w:tc>
          <w:tcPr>
            <w:tcW w:w="709"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男</w:t>
            </w:r>
          </w:p>
        </w:tc>
        <w:tc>
          <w:tcPr>
            <w:tcW w:w="1417"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 xml:space="preserve">166.70 </w:t>
            </w:r>
          </w:p>
        </w:tc>
      </w:tr>
      <w:tr w:rsidR="00DA0843" w:rsidRPr="00035403">
        <w:trPr>
          <w:trHeight w:val="360"/>
        </w:trPr>
        <w:tc>
          <w:tcPr>
            <w:tcW w:w="993"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600533</w:t>
            </w:r>
          </w:p>
        </w:tc>
        <w:tc>
          <w:tcPr>
            <w:tcW w:w="1134"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栖霞建设</w:t>
            </w:r>
          </w:p>
        </w:tc>
        <w:tc>
          <w:tcPr>
            <w:tcW w:w="1701"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房地产业</w:t>
            </w:r>
          </w:p>
        </w:tc>
        <w:tc>
          <w:tcPr>
            <w:tcW w:w="992" w:type="dxa"/>
            <w:vAlign w:val="center"/>
          </w:tcPr>
          <w:p w:rsidR="00DA0843" w:rsidRPr="008E719E" w:rsidRDefault="00DA0843" w:rsidP="00DE2C55">
            <w:pPr>
              <w:jc w:val="center"/>
              <w:rPr>
                <w:rFonts w:ascii="楷体_GB2312" w:eastAsia="楷体_GB2312" w:hAnsi="Arial" w:cs="Times New Roman"/>
                <w:color w:val="000000"/>
                <w:sz w:val="20"/>
                <w:szCs w:val="20"/>
              </w:rPr>
            </w:pPr>
            <w:r w:rsidRPr="008E719E">
              <w:rPr>
                <w:rFonts w:ascii="楷体_GB2312" w:eastAsia="楷体_GB2312" w:hAnsi="Arial" w:cs="楷体_GB2312" w:hint="eastAsia"/>
                <w:color w:val="000000"/>
                <w:sz w:val="20"/>
                <w:szCs w:val="20"/>
              </w:rPr>
              <w:t>国有</w:t>
            </w:r>
          </w:p>
        </w:tc>
        <w:tc>
          <w:tcPr>
            <w:tcW w:w="992"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江劲松</w:t>
            </w:r>
          </w:p>
        </w:tc>
        <w:tc>
          <w:tcPr>
            <w:tcW w:w="1843"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董事长、总裁</w:t>
            </w:r>
          </w:p>
        </w:tc>
        <w:tc>
          <w:tcPr>
            <w:tcW w:w="709"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男</w:t>
            </w:r>
          </w:p>
        </w:tc>
        <w:tc>
          <w:tcPr>
            <w:tcW w:w="1417" w:type="dxa"/>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 xml:space="preserve">159.78 </w:t>
            </w:r>
          </w:p>
        </w:tc>
      </w:tr>
      <w:tr w:rsidR="00DA0843" w:rsidRPr="00035403">
        <w:trPr>
          <w:trHeight w:val="360"/>
        </w:trPr>
        <w:tc>
          <w:tcPr>
            <w:tcW w:w="993"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601009</w:t>
            </w:r>
          </w:p>
        </w:tc>
        <w:tc>
          <w:tcPr>
            <w:tcW w:w="1134"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南京银行</w:t>
            </w:r>
          </w:p>
        </w:tc>
        <w:tc>
          <w:tcPr>
            <w:tcW w:w="1701"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金融、保险业</w:t>
            </w:r>
          </w:p>
        </w:tc>
        <w:tc>
          <w:tcPr>
            <w:tcW w:w="992" w:type="dxa"/>
            <w:vAlign w:val="center"/>
          </w:tcPr>
          <w:p w:rsidR="00DA0843" w:rsidRPr="008E719E" w:rsidRDefault="00DA0843" w:rsidP="00DE2C55">
            <w:pPr>
              <w:jc w:val="center"/>
              <w:rPr>
                <w:rFonts w:ascii="楷体_GB2312" w:eastAsia="楷体_GB2312" w:hAnsi="Arial" w:cs="Times New Roman"/>
                <w:color w:val="000000"/>
                <w:sz w:val="20"/>
                <w:szCs w:val="20"/>
              </w:rPr>
            </w:pPr>
            <w:r w:rsidRPr="008E719E">
              <w:rPr>
                <w:rFonts w:ascii="楷体_GB2312" w:eastAsia="楷体_GB2312" w:hAnsi="Arial" w:cs="楷体_GB2312" w:hint="eastAsia"/>
                <w:color w:val="000000"/>
                <w:sz w:val="20"/>
                <w:szCs w:val="20"/>
              </w:rPr>
              <w:t>非国有</w:t>
            </w:r>
          </w:p>
        </w:tc>
        <w:tc>
          <w:tcPr>
            <w:tcW w:w="992"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夏平</w:t>
            </w:r>
          </w:p>
        </w:tc>
        <w:tc>
          <w:tcPr>
            <w:tcW w:w="1843" w:type="dxa"/>
            <w:noWrap/>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董事、行长</w:t>
            </w:r>
          </w:p>
        </w:tc>
        <w:tc>
          <w:tcPr>
            <w:tcW w:w="709" w:type="dxa"/>
            <w:vAlign w:val="center"/>
          </w:tcPr>
          <w:p w:rsidR="00DA0843" w:rsidRPr="008E719E" w:rsidRDefault="00DA0843" w:rsidP="00DE2C55">
            <w:pPr>
              <w:jc w:val="center"/>
              <w:rPr>
                <w:rFonts w:ascii="Arial" w:eastAsia="楷体_GB2312" w:hAnsi="Arial" w:cs="Times New Roman"/>
                <w:color w:val="000000"/>
                <w:sz w:val="20"/>
                <w:szCs w:val="20"/>
              </w:rPr>
            </w:pPr>
            <w:r w:rsidRPr="008E719E">
              <w:rPr>
                <w:rFonts w:ascii="Arial" w:eastAsia="楷体_GB2312" w:hAnsi="Arial" w:cs="楷体_GB2312" w:hint="eastAsia"/>
                <w:color w:val="000000"/>
                <w:sz w:val="20"/>
                <w:szCs w:val="20"/>
              </w:rPr>
              <w:t>男</w:t>
            </w:r>
          </w:p>
        </w:tc>
        <w:tc>
          <w:tcPr>
            <w:tcW w:w="1417" w:type="dxa"/>
            <w:noWrap/>
            <w:vAlign w:val="center"/>
          </w:tcPr>
          <w:p w:rsidR="00DA0843" w:rsidRPr="008E719E" w:rsidRDefault="00DA0843" w:rsidP="00DE2C55">
            <w:pPr>
              <w:jc w:val="center"/>
              <w:rPr>
                <w:rFonts w:ascii="Arial" w:eastAsia="楷体_GB2312" w:hAnsi="Arial" w:cs="Arial"/>
                <w:color w:val="000000"/>
                <w:sz w:val="20"/>
                <w:szCs w:val="20"/>
              </w:rPr>
            </w:pPr>
            <w:r w:rsidRPr="008E719E">
              <w:rPr>
                <w:rFonts w:ascii="Arial" w:eastAsia="楷体_GB2312" w:hAnsi="Arial" w:cs="Arial"/>
                <w:color w:val="000000"/>
                <w:sz w:val="20"/>
                <w:szCs w:val="20"/>
              </w:rPr>
              <w:t xml:space="preserve">150.21 </w:t>
            </w:r>
          </w:p>
        </w:tc>
      </w:tr>
    </w:tbl>
    <w:p w:rsidR="00DA0843" w:rsidRDefault="00DA0843" w:rsidP="00DA0843">
      <w:pPr>
        <w:spacing w:beforeLines="50"/>
        <w:ind w:firstLineChars="196" w:firstLine="31680"/>
        <w:rPr>
          <w:rFonts w:ascii="Arial" w:eastAsia="楷体_GB2312" w:hAnsi="Arial" w:cs="Times New Roman"/>
        </w:rPr>
      </w:pPr>
      <w:r>
        <w:rPr>
          <w:rFonts w:ascii="Arial" w:eastAsia="楷体_GB2312" w:hAnsi="Arial" w:cs="楷体_GB2312" w:hint="eastAsia"/>
        </w:rPr>
        <w:t>而在最低值方面，去除年报未披露或披露为</w:t>
      </w:r>
      <w:r>
        <w:rPr>
          <w:rFonts w:ascii="Arial" w:eastAsia="楷体_GB2312" w:hAnsi="Arial" w:cs="Arial"/>
        </w:rPr>
        <w:t>0</w:t>
      </w:r>
      <w:r>
        <w:rPr>
          <w:rFonts w:ascii="Arial" w:eastAsia="楷体_GB2312" w:hAnsi="Arial" w:cs="楷体_GB2312" w:hint="eastAsia"/>
        </w:rPr>
        <w:t>的数据，</w:t>
      </w:r>
      <w:r>
        <w:rPr>
          <w:rFonts w:ascii="Arial" w:eastAsia="楷体_GB2312" w:hAnsi="Arial" w:cs="Arial"/>
        </w:rPr>
        <w:t>2008</w:t>
      </w:r>
      <w:r>
        <w:rPr>
          <w:rFonts w:ascii="Arial" w:eastAsia="楷体_GB2312" w:hAnsi="Arial" w:cs="楷体_GB2312" w:hint="eastAsia"/>
        </w:rPr>
        <w:t>至</w:t>
      </w:r>
      <w:r>
        <w:rPr>
          <w:rFonts w:ascii="Arial" w:eastAsia="楷体_GB2312" w:hAnsi="Arial" w:cs="Arial"/>
        </w:rPr>
        <w:t>2012</w:t>
      </w:r>
      <w:r>
        <w:rPr>
          <w:rFonts w:ascii="Arial" w:eastAsia="楷体_GB2312" w:hAnsi="Arial" w:cs="楷体_GB2312" w:hint="eastAsia"/>
        </w:rPr>
        <w:t>年江苏省上市公司高管年薪最低值基本处于</w:t>
      </w:r>
      <w:r>
        <w:rPr>
          <w:rFonts w:ascii="Arial" w:eastAsia="楷体_GB2312" w:hAnsi="Arial" w:cs="Arial"/>
        </w:rPr>
        <w:t>3.5</w:t>
      </w:r>
      <w:r>
        <w:rPr>
          <w:rFonts w:ascii="Arial" w:eastAsia="楷体_GB2312" w:hAnsi="Arial" w:cs="楷体_GB2312" w:hint="eastAsia"/>
        </w:rPr>
        <w:t>万元左右。高管薪酬最高值和最低值之间相差超过</w:t>
      </w:r>
      <w:r>
        <w:rPr>
          <w:rFonts w:ascii="Arial" w:eastAsia="楷体_GB2312" w:hAnsi="Arial" w:cs="Arial"/>
        </w:rPr>
        <w:t>70</w:t>
      </w:r>
      <w:r>
        <w:rPr>
          <w:rFonts w:ascii="Arial" w:eastAsia="楷体_GB2312" w:hAnsi="Arial" w:cs="楷体_GB2312" w:hint="eastAsia"/>
        </w:rPr>
        <w:t>倍。当然，这也不排除部分企业高管不在本公司领取全部薪酬的状况。</w:t>
      </w:r>
    </w:p>
    <w:p w:rsidR="00DA0843" w:rsidRDefault="00DA0843" w:rsidP="00370B4F">
      <w:pPr>
        <w:spacing w:beforeLines="50"/>
        <w:ind w:firstLineChars="196" w:firstLine="31680"/>
        <w:rPr>
          <w:rFonts w:ascii="Arial" w:eastAsia="楷体_GB2312" w:hAnsi="Arial" w:cs="Times New Roman"/>
        </w:rPr>
      </w:pPr>
      <w:r>
        <w:rPr>
          <w:rFonts w:ascii="Arial" w:eastAsia="楷体_GB2312" w:hAnsi="Arial" w:cs="楷体_GB2312" w:hint="eastAsia"/>
        </w:rPr>
        <w:t>联合咨询中心发现，薪酬的高低差距大，</w:t>
      </w:r>
      <w:r w:rsidRPr="001375FF">
        <w:rPr>
          <w:rFonts w:ascii="Arial" w:eastAsia="楷体_GB2312" w:hAnsi="Arial" w:cs="楷体_GB2312" w:hint="eastAsia"/>
        </w:rPr>
        <w:t>呈现薪酬高者增长幅度大，而薪酬低者增幅小的现象，存在马太效应。</w:t>
      </w:r>
    </w:p>
    <w:p w:rsidR="00DA0843" w:rsidRPr="00EF298D" w:rsidRDefault="00DA0843" w:rsidP="008D4B5F">
      <w:pPr>
        <w:spacing w:beforeLines="50"/>
        <w:outlineLvl w:val="1"/>
        <w:rPr>
          <w:rFonts w:ascii="Arial" w:eastAsia="楷体_GB2312" w:hAnsi="Arial" w:cs="Times New Roman"/>
          <w:b/>
          <w:bCs/>
          <w:sz w:val="22"/>
          <w:szCs w:val="22"/>
        </w:rPr>
      </w:pPr>
      <w:r>
        <w:rPr>
          <w:rFonts w:ascii="Arial" w:eastAsia="楷体_GB2312" w:hAnsi="Arial" w:cs="楷体_GB2312" w:hint="eastAsia"/>
          <w:b/>
          <w:bCs/>
          <w:sz w:val="22"/>
          <w:szCs w:val="22"/>
        </w:rPr>
        <w:t>省市比较：江苏</w:t>
      </w:r>
      <w:r w:rsidRPr="00EF298D">
        <w:rPr>
          <w:rFonts w:ascii="Arial" w:eastAsia="楷体_GB2312" w:hAnsi="Arial" w:cs="楷体_GB2312" w:hint="eastAsia"/>
          <w:b/>
          <w:bCs/>
          <w:sz w:val="22"/>
          <w:szCs w:val="22"/>
        </w:rPr>
        <w:t>高管薪酬水平与临近省市</w:t>
      </w:r>
      <w:bookmarkEnd w:id="3"/>
      <w:r>
        <w:rPr>
          <w:rFonts w:ascii="Arial" w:eastAsia="楷体_GB2312" w:hAnsi="Arial" w:cs="楷体_GB2312" w:hint="eastAsia"/>
          <w:b/>
          <w:bCs/>
          <w:sz w:val="22"/>
          <w:szCs w:val="22"/>
        </w:rPr>
        <w:t>存在</w:t>
      </w:r>
      <w:r w:rsidRPr="00EF298D">
        <w:rPr>
          <w:rFonts w:ascii="Arial" w:eastAsia="楷体_GB2312" w:hAnsi="Arial" w:cs="楷体_GB2312" w:hint="eastAsia"/>
          <w:b/>
          <w:bCs/>
          <w:sz w:val="22"/>
          <w:szCs w:val="22"/>
        </w:rPr>
        <w:t>一定差距</w:t>
      </w:r>
    </w:p>
    <w:p w:rsidR="00DA0843" w:rsidRPr="0052738A" w:rsidRDefault="00DA0843" w:rsidP="00370B4F">
      <w:pPr>
        <w:spacing w:beforeLines="50"/>
        <w:ind w:firstLineChars="200" w:firstLine="31680"/>
        <w:rPr>
          <w:rFonts w:ascii="Arial" w:eastAsia="楷体_GB2312" w:hAnsi="Arial" w:cs="Times New Roman"/>
        </w:rPr>
      </w:pPr>
      <w:r w:rsidRPr="0052738A">
        <w:rPr>
          <w:rFonts w:ascii="Arial" w:eastAsia="楷体_GB2312" w:hAnsi="Arial" w:cs="楷体_GB2312" w:hint="eastAsia"/>
        </w:rPr>
        <w:t>从</w:t>
      </w:r>
      <w:r>
        <w:rPr>
          <w:rFonts w:ascii="Arial" w:eastAsia="楷体_GB2312" w:hAnsi="Arial" w:cs="Arial"/>
        </w:rPr>
        <w:t>2012</w:t>
      </w:r>
      <w:r w:rsidRPr="0052738A">
        <w:rPr>
          <w:rFonts w:ascii="Arial" w:eastAsia="楷体_GB2312" w:hAnsi="Arial" w:cs="楷体_GB2312" w:hint="eastAsia"/>
        </w:rPr>
        <w:t>年全国范围的上市公司高管平均薪酬来看，江苏省高管薪酬水平列全国第十</w:t>
      </w:r>
      <w:r>
        <w:rPr>
          <w:rFonts w:ascii="Arial" w:eastAsia="楷体_GB2312" w:hAnsi="Arial" w:cs="楷体_GB2312" w:hint="eastAsia"/>
        </w:rPr>
        <w:t>三</w:t>
      </w:r>
      <w:r w:rsidRPr="0052738A">
        <w:rPr>
          <w:rFonts w:ascii="Arial" w:eastAsia="楷体_GB2312" w:hAnsi="Arial" w:cs="楷体_GB2312" w:hint="eastAsia"/>
        </w:rPr>
        <w:t>位。</w:t>
      </w:r>
      <w:r>
        <w:rPr>
          <w:rFonts w:ascii="Arial" w:eastAsia="楷体_GB2312" w:hAnsi="Arial" w:cs="楷体_GB2312" w:hint="eastAsia"/>
        </w:rPr>
        <w:t>和其他地区相比，</w:t>
      </w:r>
      <w:r w:rsidRPr="0052738A">
        <w:rPr>
          <w:rFonts w:ascii="Arial" w:eastAsia="楷体_GB2312" w:hAnsi="Arial" w:cs="楷体_GB2312" w:hint="eastAsia"/>
        </w:rPr>
        <w:t>江苏省上市公司高管薪酬平均值比排名第一的广东省（</w:t>
      </w:r>
      <w:r>
        <w:rPr>
          <w:rFonts w:ascii="Arial" w:eastAsia="楷体_GB2312" w:hAnsi="Arial" w:cs="Arial"/>
        </w:rPr>
        <w:t>88</w:t>
      </w:r>
      <w:r w:rsidRPr="0052738A">
        <w:rPr>
          <w:rFonts w:ascii="Arial" w:eastAsia="楷体_GB2312" w:hAnsi="Arial" w:cs="楷体_GB2312" w:hint="eastAsia"/>
        </w:rPr>
        <w:t>万元）低</w:t>
      </w:r>
      <w:r>
        <w:rPr>
          <w:rFonts w:ascii="Arial" w:eastAsia="楷体_GB2312" w:hAnsi="Arial" w:cs="Arial"/>
        </w:rPr>
        <w:t>34</w:t>
      </w:r>
      <w:r w:rsidRPr="0052738A">
        <w:rPr>
          <w:rFonts w:ascii="Arial" w:eastAsia="楷体_GB2312" w:hAnsi="Arial" w:cs="Arial"/>
        </w:rPr>
        <w:t>%</w:t>
      </w:r>
      <w:r w:rsidRPr="0052738A">
        <w:rPr>
          <w:rFonts w:ascii="Arial" w:eastAsia="楷体_GB2312" w:hAnsi="Arial" w:cs="楷体_GB2312" w:hint="eastAsia"/>
        </w:rPr>
        <w:t>，比临近的上海市（</w:t>
      </w:r>
      <w:r>
        <w:rPr>
          <w:rFonts w:ascii="Arial" w:eastAsia="楷体_GB2312" w:hAnsi="Arial" w:cs="Arial"/>
        </w:rPr>
        <w:t>72.9</w:t>
      </w:r>
      <w:r w:rsidRPr="0052738A">
        <w:rPr>
          <w:rFonts w:ascii="Arial" w:eastAsia="楷体_GB2312" w:hAnsi="Arial" w:cs="楷体_GB2312" w:hint="eastAsia"/>
        </w:rPr>
        <w:t>万元）、浙江省（</w:t>
      </w:r>
      <w:r>
        <w:rPr>
          <w:rFonts w:ascii="Arial" w:eastAsia="楷体_GB2312" w:hAnsi="Arial" w:cs="Arial"/>
        </w:rPr>
        <w:t>64</w:t>
      </w:r>
      <w:r w:rsidRPr="0052738A">
        <w:rPr>
          <w:rFonts w:ascii="Arial" w:eastAsia="楷体_GB2312" w:hAnsi="Arial" w:cs="楷体_GB2312" w:hint="eastAsia"/>
        </w:rPr>
        <w:t>万元）分别低</w:t>
      </w:r>
      <w:r>
        <w:rPr>
          <w:rFonts w:ascii="Arial" w:eastAsia="楷体_GB2312" w:hAnsi="Arial" w:cs="Arial"/>
        </w:rPr>
        <w:t>20</w:t>
      </w:r>
      <w:r w:rsidRPr="0052738A">
        <w:rPr>
          <w:rFonts w:ascii="Arial" w:eastAsia="楷体_GB2312" w:hAnsi="Arial" w:cs="Arial"/>
        </w:rPr>
        <w:t>%</w:t>
      </w:r>
      <w:r w:rsidRPr="0052738A">
        <w:rPr>
          <w:rFonts w:ascii="Arial" w:eastAsia="楷体_GB2312" w:hAnsi="Arial" w:cs="楷体_GB2312" w:hint="eastAsia"/>
        </w:rPr>
        <w:t>、</w:t>
      </w:r>
      <w:r>
        <w:rPr>
          <w:rFonts w:ascii="Arial" w:eastAsia="楷体_GB2312" w:hAnsi="Arial" w:cs="Arial"/>
        </w:rPr>
        <w:t>10</w:t>
      </w:r>
      <w:r w:rsidRPr="0052738A">
        <w:rPr>
          <w:rFonts w:ascii="Arial" w:eastAsia="楷体_GB2312" w:hAnsi="Arial" w:cs="Arial"/>
        </w:rPr>
        <w:t>%</w:t>
      </w:r>
      <w:r>
        <w:rPr>
          <w:rFonts w:ascii="Arial" w:eastAsia="楷体_GB2312" w:hAnsi="Arial" w:cs="楷体_GB2312" w:hint="eastAsia"/>
        </w:rPr>
        <w:t>。</w:t>
      </w:r>
    </w:p>
    <w:p w:rsidR="00DA0843" w:rsidRPr="00393F3B" w:rsidRDefault="00DA0843" w:rsidP="008D4B5F">
      <w:pPr>
        <w:spacing w:beforeLines="50"/>
        <w:outlineLvl w:val="1"/>
        <w:rPr>
          <w:rFonts w:ascii="Arial" w:eastAsia="楷体_GB2312" w:hAnsi="Arial" w:cs="Times New Roman"/>
          <w:b/>
          <w:bCs/>
          <w:sz w:val="22"/>
          <w:szCs w:val="22"/>
        </w:rPr>
      </w:pPr>
      <w:r>
        <w:rPr>
          <w:rFonts w:ascii="Arial" w:eastAsia="楷体_GB2312" w:hAnsi="Arial" w:cs="楷体_GB2312" w:hint="eastAsia"/>
          <w:b/>
          <w:bCs/>
          <w:sz w:val="22"/>
          <w:szCs w:val="22"/>
        </w:rPr>
        <w:t>行业比较：</w:t>
      </w:r>
      <w:r w:rsidRPr="00393F3B">
        <w:rPr>
          <w:rFonts w:ascii="Arial" w:eastAsia="楷体_GB2312" w:hAnsi="Arial" w:cs="楷体_GB2312" w:hint="eastAsia"/>
          <w:b/>
          <w:bCs/>
          <w:sz w:val="22"/>
          <w:szCs w:val="22"/>
        </w:rPr>
        <w:t>“同职不同酬”，</w:t>
      </w:r>
      <w:r>
        <w:rPr>
          <w:rFonts w:ascii="Arial" w:eastAsia="楷体_GB2312" w:hAnsi="Arial" w:cs="楷体_GB2312" w:hint="eastAsia"/>
          <w:b/>
          <w:bCs/>
          <w:sz w:val="22"/>
          <w:szCs w:val="22"/>
        </w:rPr>
        <w:t>江苏</w:t>
      </w:r>
      <w:r w:rsidRPr="00393F3B">
        <w:rPr>
          <w:rFonts w:ascii="Arial" w:eastAsia="楷体_GB2312" w:hAnsi="Arial" w:cs="楷体_GB2312" w:hint="eastAsia"/>
          <w:b/>
          <w:bCs/>
          <w:sz w:val="22"/>
          <w:szCs w:val="22"/>
        </w:rPr>
        <w:t>不同行业间高管年薪差距显著</w:t>
      </w:r>
    </w:p>
    <w:p w:rsidR="00DA0843" w:rsidRDefault="00DA0843" w:rsidP="00370B4F">
      <w:pPr>
        <w:spacing w:beforeLines="50"/>
        <w:ind w:firstLineChars="200" w:firstLine="31680"/>
        <w:rPr>
          <w:rFonts w:ascii="Arial" w:eastAsia="楷体_GB2312" w:hAnsi="Arial" w:cs="Times New Roman"/>
        </w:rPr>
      </w:pPr>
      <w:r w:rsidRPr="00B806A7">
        <w:rPr>
          <w:rFonts w:ascii="Arial" w:eastAsia="楷体_GB2312" w:hAnsi="Arial" w:cs="楷体_GB2312" w:hint="eastAsia"/>
        </w:rPr>
        <w:t>在江苏全省上市公司涉及的</w:t>
      </w:r>
      <w:r>
        <w:rPr>
          <w:rFonts w:ascii="Arial" w:eastAsia="楷体_GB2312" w:hAnsi="Arial" w:cs="Arial"/>
        </w:rPr>
        <w:t>11</w:t>
      </w:r>
      <w:r w:rsidRPr="00B806A7">
        <w:rPr>
          <w:rFonts w:ascii="Arial" w:eastAsia="楷体_GB2312" w:hAnsi="Arial" w:cs="楷体_GB2312" w:hint="eastAsia"/>
        </w:rPr>
        <w:t>个行业中，</w:t>
      </w:r>
      <w:r>
        <w:rPr>
          <w:rFonts w:ascii="Arial" w:eastAsia="楷体_GB2312" w:hAnsi="Arial" w:cs="楷体_GB2312" w:hint="eastAsia"/>
        </w:rPr>
        <w:t>电煤水生产和供应业</w:t>
      </w:r>
      <w:r w:rsidRPr="00B806A7">
        <w:rPr>
          <w:rFonts w:ascii="Arial" w:eastAsia="楷体_GB2312" w:hAnsi="Arial" w:cs="楷体_GB2312" w:hint="eastAsia"/>
        </w:rPr>
        <w:t>行业</w:t>
      </w:r>
      <w:r>
        <w:rPr>
          <w:rFonts w:ascii="Arial" w:eastAsia="楷体_GB2312" w:hAnsi="Arial" w:cs="楷体_GB2312" w:hint="eastAsia"/>
        </w:rPr>
        <w:t>、</w:t>
      </w:r>
      <w:r w:rsidRPr="00B806A7">
        <w:rPr>
          <w:rFonts w:ascii="Arial" w:eastAsia="楷体_GB2312" w:hAnsi="Arial" w:cs="楷体_GB2312" w:hint="eastAsia"/>
        </w:rPr>
        <w:t>综合类</w:t>
      </w:r>
      <w:r>
        <w:rPr>
          <w:rFonts w:ascii="Arial" w:eastAsia="楷体_GB2312" w:hAnsi="Arial" w:cs="楷体_GB2312" w:hint="eastAsia"/>
        </w:rPr>
        <w:t>、制造业</w:t>
      </w:r>
      <w:r w:rsidRPr="00B806A7">
        <w:rPr>
          <w:rFonts w:ascii="Arial" w:eastAsia="楷体_GB2312" w:hAnsi="Arial" w:cs="楷体_GB2312" w:hint="eastAsia"/>
        </w:rPr>
        <w:t>的高管薪酬水平相对较低，年薪均值在</w:t>
      </w:r>
      <w:r>
        <w:rPr>
          <w:rFonts w:ascii="Arial" w:eastAsia="楷体_GB2312" w:hAnsi="Arial" w:cs="Arial"/>
        </w:rPr>
        <w:t>40</w:t>
      </w:r>
      <w:r w:rsidRPr="00B806A7">
        <w:rPr>
          <w:rFonts w:ascii="Arial" w:eastAsia="楷体_GB2312" w:hAnsi="Arial" w:cs="楷体_GB2312" w:hint="eastAsia"/>
        </w:rPr>
        <w:t>万元至</w:t>
      </w:r>
      <w:r>
        <w:rPr>
          <w:rFonts w:ascii="Arial" w:eastAsia="楷体_GB2312" w:hAnsi="Arial" w:cs="Arial"/>
        </w:rPr>
        <w:t>50</w:t>
      </w:r>
      <w:r>
        <w:rPr>
          <w:rFonts w:ascii="Arial" w:eastAsia="楷体_GB2312" w:hAnsi="Arial" w:cs="楷体_GB2312" w:hint="eastAsia"/>
        </w:rPr>
        <w:t>万元左右</w:t>
      </w:r>
      <w:r w:rsidRPr="00B806A7">
        <w:rPr>
          <w:rFonts w:ascii="Arial" w:eastAsia="楷体_GB2312" w:hAnsi="Arial" w:cs="楷体_GB2312" w:hint="eastAsia"/>
        </w:rPr>
        <w:t>；而金融保险业、房地产业和建筑业的高管薪酬水平较高，尤其是金融保险业，其高管薪酬均值</w:t>
      </w:r>
      <w:r>
        <w:rPr>
          <w:rFonts w:ascii="Arial" w:eastAsia="楷体_GB2312" w:hAnsi="Arial" w:cs="楷体_GB2312" w:hint="eastAsia"/>
        </w:rPr>
        <w:t>为</w:t>
      </w:r>
      <w:r>
        <w:rPr>
          <w:rFonts w:ascii="Arial" w:eastAsia="楷体_GB2312" w:hAnsi="Arial" w:cs="Arial"/>
        </w:rPr>
        <w:t>198.45</w:t>
      </w:r>
      <w:r>
        <w:rPr>
          <w:rFonts w:ascii="Arial" w:eastAsia="楷体_GB2312" w:hAnsi="Arial" w:cs="楷体_GB2312" w:hint="eastAsia"/>
        </w:rPr>
        <w:t>万元</w:t>
      </w:r>
      <w:r w:rsidRPr="00B806A7">
        <w:rPr>
          <w:rFonts w:ascii="Arial" w:eastAsia="楷体_GB2312" w:hAnsi="Arial" w:cs="楷体_GB2312" w:hint="eastAsia"/>
        </w:rPr>
        <w:t>，是全省上市公司高管薪酬均值的</w:t>
      </w:r>
      <w:r>
        <w:rPr>
          <w:rFonts w:ascii="Arial" w:eastAsia="楷体_GB2312" w:hAnsi="Arial" w:cs="Arial"/>
        </w:rPr>
        <w:t>3</w:t>
      </w:r>
      <w:r>
        <w:rPr>
          <w:rFonts w:ascii="Arial" w:eastAsia="楷体_GB2312" w:hAnsi="Arial" w:cs="楷体_GB2312" w:hint="eastAsia"/>
        </w:rPr>
        <w:t>倍多。联合咨询中心发现</w:t>
      </w:r>
      <w:r w:rsidRPr="00B806A7">
        <w:rPr>
          <w:rFonts w:ascii="Arial" w:eastAsia="楷体_GB2312" w:hAnsi="Arial" w:cs="楷体_GB2312" w:hint="eastAsia"/>
        </w:rPr>
        <w:t>，高管薪酬水平处于高位的行业薪酬继续攀高，处于低位的行业薪酬水平并没有得到较大的提升，两者存在显著差异。</w:t>
      </w:r>
    </w:p>
    <w:p w:rsidR="00DA0843" w:rsidRPr="00B806A7" w:rsidRDefault="00DA0843" w:rsidP="00370B4F">
      <w:pPr>
        <w:spacing w:beforeLines="50"/>
        <w:ind w:firstLineChars="200" w:firstLine="31680"/>
        <w:rPr>
          <w:rFonts w:ascii="Arial" w:eastAsia="楷体_GB2312" w:hAnsi="Arial" w:cs="Times New Roman"/>
        </w:rPr>
      </w:pPr>
      <w:r>
        <w:rPr>
          <w:rFonts w:ascii="Arial" w:eastAsia="楷体_GB2312" w:hAnsi="Arial" w:cs="楷体_GB2312" w:hint="eastAsia"/>
        </w:rPr>
        <w:t>与全国各行业高管薪酬的均值相比较，江苏省多数行业高管薪酬水平低于全国水平，金融保险业、批发和零售贸易、交通运输仓储业、传播与文化产业、制造业、综合类等行业上市公司的高管薪酬水平皆不及全国均值。</w:t>
      </w:r>
    </w:p>
    <w:p w:rsidR="00DA0843" w:rsidRPr="00EF298D" w:rsidRDefault="00DA0843" w:rsidP="008D4B5F">
      <w:pPr>
        <w:spacing w:beforeLines="50"/>
        <w:outlineLvl w:val="1"/>
        <w:rPr>
          <w:rFonts w:ascii="Arial" w:eastAsia="楷体_GB2312" w:hAnsi="Arial" w:cs="Times New Roman"/>
          <w:b/>
          <w:bCs/>
          <w:sz w:val="22"/>
          <w:szCs w:val="22"/>
        </w:rPr>
      </w:pPr>
      <w:bookmarkStart w:id="4" w:name="_Toc332381631"/>
      <w:r>
        <w:rPr>
          <w:rFonts w:ascii="Arial" w:eastAsia="楷体_GB2312" w:hAnsi="Arial" w:cs="楷体_GB2312" w:hint="eastAsia"/>
          <w:b/>
          <w:bCs/>
          <w:sz w:val="22"/>
          <w:szCs w:val="22"/>
        </w:rPr>
        <w:t>省内比较：</w:t>
      </w:r>
      <w:r w:rsidRPr="00EF298D">
        <w:rPr>
          <w:rFonts w:ascii="Arial" w:eastAsia="楷体_GB2312" w:hAnsi="Arial" w:cs="楷体_GB2312" w:hint="eastAsia"/>
          <w:b/>
          <w:bCs/>
          <w:sz w:val="22"/>
          <w:szCs w:val="22"/>
        </w:rPr>
        <w:t>苏北地区高管薪酬占据高位，徐州最高、泰州最低</w:t>
      </w:r>
      <w:bookmarkEnd w:id="4"/>
    </w:p>
    <w:p w:rsidR="00DA0843" w:rsidRPr="00B260BD" w:rsidRDefault="00DA0843" w:rsidP="00370B4F">
      <w:pPr>
        <w:spacing w:beforeLines="50"/>
        <w:ind w:firstLineChars="200" w:firstLine="31680"/>
        <w:rPr>
          <w:rFonts w:ascii="Arial" w:eastAsia="楷体_GB2312" w:hAnsi="Arial" w:cs="Times New Roman"/>
        </w:rPr>
      </w:pPr>
      <w:r w:rsidRPr="00B260BD">
        <w:rPr>
          <w:rFonts w:ascii="Arial" w:eastAsia="楷体_GB2312" w:hAnsi="Arial" w:cs="Arial"/>
        </w:rPr>
        <w:t>201</w:t>
      </w:r>
      <w:r>
        <w:rPr>
          <w:rFonts w:ascii="Arial" w:eastAsia="楷体_GB2312" w:hAnsi="Arial" w:cs="Arial"/>
        </w:rPr>
        <w:t>2</w:t>
      </w:r>
      <w:r w:rsidRPr="00B260BD">
        <w:rPr>
          <w:rFonts w:ascii="Arial" w:eastAsia="楷体_GB2312" w:hAnsi="Arial" w:cs="楷体_GB2312" w:hint="eastAsia"/>
        </w:rPr>
        <w:t>年江苏省高管薪酬平均水平排前三位的城市为</w:t>
      </w:r>
      <w:r>
        <w:rPr>
          <w:rFonts w:ascii="Arial" w:eastAsia="楷体_GB2312" w:hAnsi="Arial" w:cs="楷体_GB2312" w:hint="eastAsia"/>
        </w:rPr>
        <w:t>徐州、常州和南京</w:t>
      </w:r>
      <w:r w:rsidRPr="00B260BD">
        <w:rPr>
          <w:rFonts w:ascii="Arial" w:eastAsia="楷体_GB2312" w:hAnsi="Arial" w:cs="楷体_GB2312" w:hint="eastAsia"/>
        </w:rPr>
        <w:t>，高管薪酬均值分别为</w:t>
      </w:r>
      <w:r>
        <w:rPr>
          <w:rFonts w:ascii="Arial" w:eastAsia="楷体_GB2312" w:hAnsi="Arial" w:cs="Arial"/>
        </w:rPr>
        <w:t>83.11</w:t>
      </w:r>
      <w:r w:rsidRPr="00B260BD">
        <w:rPr>
          <w:rFonts w:ascii="Arial" w:eastAsia="楷体_GB2312" w:hAnsi="Arial" w:cs="楷体_GB2312" w:hint="eastAsia"/>
        </w:rPr>
        <w:t>万元、</w:t>
      </w:r>
      <w:r>
        <w:rPr>
          <w:rFonts w:ascii="Arial" w:eastAsia="楷体_GB2312" w:hAnsi="Arial" w:cs="Arial"/>
        </w:rPr>
        <w:t>66.20</w:t>
      </w:r>
      <w:r w:rsidRPr="00B260BD">
        <w:rPr>
          <w:rFonts w:ascii="Arial" w:eastAsia="楷体_GB2312" w:hAnsi="Arial" w:cs="楷体_GB2312" w:hint="eastAsia"/>
        </w:rPr>
        <w:t>万元和</w:t>
      </w:r>
      <w:r>
        <w:rPr>
          <w:rFonts w:ascii="Arial" w:eastAsia="楷体_GB2312" w:hAnsi="Arial" w:cs="Arial"/>
        </w:rPr>
        <w:t>65.74</w:t>
      </w:r>
      <w:r w:rsidRPr="00B260BD">
        <w:rPr>
          <w:rFonts w:ascii="Arial" w:eastAsia="楷体_GB2312" w:hAnsi="Arial" w:cs="楷体_GB2312" w:hint="eastAsia"/>
        </w:rPr>
        <w:t>万元，而高管薪酬平均水平最低的城市为泰州，高管薪酬均值仅为</w:t>
      </w:r>
      <w:r>
        <w:rPr>
          <w:rFonts w:ascii="Arial" w:eastAsia="楷体_GB2312" w:hAnsi="Arial" w:cs="Arial"/>
        </w:rPr>
        <w:t>34.73</w:t>
      </w:r>
      <w:r w:rsidRPr="00B260BD">
        <w:rPr>
          <w:rFonts w:ascii="Arial" w:eastAsia="楷体_GB2312" w:hAnsi="Arial" w:cs="楷体_GB2312" w:hint="eastAsia"/>
        </w:rPr>
        <w:t>万元。</w:t>
      </w:r>
    </w:p>
    <w:p w:rsidR="00DA0843" w:rsidRPr="00B260BD" w:rsidRDefault="00DA0843" w:rsidP="00CD4E43">
      <w:pPr>
        <w:spacing w:beforeLines="50"/>
        <w:ind w:firstLineChars="200" w:firstLine="31680"/>
        <w:rPr>
          <w:rFonts w:ascii="Arial" w:eastAsia="楷体_GB2312" w:hAnsi="Arial" w:cs="Times New Roman"/>
        </w:rPr>
      </w:pPr>
      <w:r w:rsidRPr="00B260BD">
        <w:rPr>
          <w:rFonts w:ascii="Arial" w:eastAsia="楷体_GB2312" w:hAnsi="Arial" w:cs="楷体_GB2312" w:hint="eastAsia"/>
        </w:rPr>
        <w:t>从薪酬变化上来看，自</w:t>
      </w:r>
      <w:r w:rsidRPr="00B260BD">
        <w:rPr>
          <w:rFonts w:ascii="Arial" w:eastAsia="楷体_GB2312" w:hAnsi="Arial" w:cs="Arial"/>
        </w:rPr>
        <w:t>2008</w:t>
      </w:r>
      <w:r w:rsidRPr="00B260BD">
        <w:rPr>
          <w:rFonts w:ascii="Arial" w:eastAsia="楷体_GB2312" w:hAnsi="Arial" w:cs="楷体_GB2312" w:hint="eastAsia"/>
        </w:rPr>
        <w:t>年至</w:t>
      </w:r>
      <w:r w:rsidRPr="00B260BD">
        <w:rPr>
          <w:rFonts w:ascii="Arial" w:eastAsia="楷体_GB2312" w:hAnsi="Arial" w:cs="Arial"/>
        </w:rPr>
        <w:t>201</w:t>
      </w:r>
      <w:r>
        <w:rPr>
          <w:rFonts w:ascii="Arial" w:eastAsia="楷体_GB2312" w:hAnsi="Arial" w:cs="Arial"/>
        </w:rPr>
        <w:t>2</w:t>
      </w:r>
      <w:r w:rsidRPr="00B260BD">
        <w:rPr>
          <w:rFonts w:ascii="Arial" w:eastAsia="楷体_GB2312" w:hAnsi="Arial" w:cs="楷体_GB2312" w:hint="eastAsia"/>
        </w:rPr>
        <w:t>年，泰州</w:t>
      </w:r>
      <w:r>
        <w:rPr>
          <w:rFonts w:ascii="Arial" w:eastAsia="楷体_GB2312" w:hAnsi="Arial" w:cs="楷体_GB2312" w:hint="eastAsia"/>
        </w:rPr>
        <w:t>、徐州和南通</w:t>
      </w:r>
      <w:r w:rsidRPr="00B260BD">
        <w:rPr>
          <w:rFonts w:ascii="Arial" w:eastAsia="楷体_GB2312" w:hAnsi="Arial" w:cs="楷体_GB2312" w:hint="eastAsia"/>
        </w:rPr>
        <w:t>三城市高管薪酬年均复合增长率分别为</w:t>
      </w:r>
      <w:r>
        <w:rPr>
          <w:rFonts w:ascii="Arial" w:eastAsia="楷体_GB2312" w:hAnsi="Arial" w:cs="Arial"/>
        </w:rPr>
        <w:t>45</w:t>
      </w:r>
      <w:r w:rsidRPr="00B260BD">
        <w:rPr>
          <w:rFonts w:ascii="Arial" w:eastAsia="楷体_GB2312" w:hAnsi="Arial" w:cs="Arial"/>
        </w:rPr>
        <w:t>%</w:t>
      </w:r>
      <w:r w:rsidRPr="00B260BD">
        <w:rPr>
          <w:rFonts w:ascii="Arial" w:eastAsia="楷体_GB2312" w:hAnsi="Arial" w:cs="楷体_GB2312" w:hint="eastAsia"/>
        </w:rPr>
        <w:t>、</w:t>
      </w:r>
      <w:r>
        <w:rPr>
          <w:rFonts w:ascii="Arial" w:eastAsia="楷体_GB2312" w:hAnsi="Arial" w:cs="Arial"/>
        </w:rPr>
        <w:t>22</w:t>
      </w:r>
      <w:r w:rsidRPr="00B260BD">
        <w:rPr>
          <w:rFonts w:ascii="Arial" w:eastAsia="楷体_GB2312" w:hAnsi="Arial" w:cs="Arial"/>
        </w:rPr>
        <w:t>%</w:t>
      </w:r>
      <w:r w:rsidRPr="00B260BD">
        <w:rPr>
          <w:rFonts w:ascii="Arial" w:eastAsia="楷体_GB2312" w:hAnsi="Arial" w:cs="楷体_GB2312" w:hint="eastAsia"/>
        </w:rPr>
        <w:t>和</w:t>
      </w:r>
      <w:r>
        <w:rPr>
          <w:rFonts w:ascii="Arial" w:eastAsia="楷体_GB2312" w:hAnsi="Arial" w:cs="Arial"/>
        </w:rPr>
        <w:t>20</w:t>
      </w:r>
      <w:r w:rsidRPr="00B260BD">
        <w:rPr>
          <w:rFonts w:ascii="Arial" w:eastAsia="楷体_GB2312" w:hAnsi="Arial" w:cs="Arial"/>
        </w:rPr>
        <w:t>%</w:t>
      </w:r>
      <w:r>
        <w:rPr>
          <w:rFonts w:ascii="Arial" w:eastAsia="楷体_GB2312" w:hAnsi="Arial" w:cs="楷体_GB2312" w:hint="eastAsia"/>
        </w:rPr>
        <w:t>。但无锡、扬州</w:t>
      </w:r>
      <w:r w:rsidRPr="00B260BD">
        <w:rPr>
          <w:rFonts w:ascii="Arial" w:eastAsia="楷体_GB2312" w:hAnsi="Arial" w:cs="楷体_GB2312" w:hint="eastAsia"/>
        </w:rPr>
        <w:t>等市高管薪酬年均增长减慢，年均增长</w:t>
      </w:r>
      <w:r>
        <w:rPr>
          <w:rFonts w:ascii="Arial" w:eastAsia="楷体_GB2312" w:hAnsi="Arial" w:cs="楷体_GB2312" w:hint="eastAsia"/>
        </w:rPr>
        <w:t>皆在</w:t>
      </w:r>
      <w:r>
        <w:rPr>
          <w:rFonts w:ascii="Arial" w:eastAsia="楷体_GB2312" w:hAnsi="Arial" w:cs="Arial"/>
        </w:rPr>
        <w:t>6</w:t>
      </w:r>
      <w:r w:rsidRPr="00B260BD">
        <w:rPr>
          <w:rFonts w:ascii="Arial" w:eastAsia="楷体_GB2312" w:hAnsi="Arial" w:cs="Arial"/>
        </w:rPr>
        <w:t>%</w:t>
      </w:r>
      <w:r>
        <w:rPr>
          <w:rFonts w:ascii="Arial" w:eastAsia="楷体_GB2312" w:hAnsi="Arial" w:cs="楷体_GB2312" w:hint="eastAsia"/>
        </w:rPr>
        <w:t>左右</w:t>
      </w:r>
      <w:r w:rsidRPr="00B260BD">
        <w:rPr>
          <w:rFonts w:ascii="Arial" w:eastAsia="楷体_GB2312" w:hAnsi="Arial" w:cs="楷体_GB2312" w:hint="eastAsia"/>
        </w:rPr>
        <w:t>，不同城市之间高管薪酬年均增长幅度差距较大。</w:t>
      </w:r>
    </w:p>
    <w:p w:rsidR="00DA0843" w:rsidRPr="00B260BD" w:rsidRDefault="00DA0843" w:rsidP="00370B4F">
      <w:pPr>
        <w:spacing w:beforeLines="50"/>
        <w:ind w:firstLineChars="200" w:firstLine="31680"/>
        <w:rPr>
          <w:rFonts w:ascii="Arial" w:eastAsia="楷体_GB2312" w:hAnsi="Arial" w:cs="Times New Roman"/>
        </w:rPr>
      </w:pPr>
      <w:r w:rsidRPr="00B260BD">
        <w:rPr>
          <w:rFonts w:ascii="Arial" w:eastAsia="楷体_GB2312" w:hAnsi="Arial" w:cs="楷体_GB2312" w:hint="eastAsia"/>
        </w:rPr>
        <w:t>此外，苏北七市</w:t>
      </w:r>
      <w:r w:rsidRPr="00B260BD">
        <w:rPr>
          <w:rStyle w:val="FootnoteReference"/>
          <w:rFonts w:ascii="Arial" w:eastAsia="楷体_GB2312" w:hAnsi="Arial" w:cs="Times New Roman"/>
        </w:rPr>
        <w:footnoteReference w:id="4"/>
      </w:r>
      <w:r w:rsidRPr="00B260BD">
        <w:rPr>
          <w:rFonts w:ascii="Arial" w:eastAsia="楷体_GB2312" w:hAnsi="Arial" w:cs="楷体_GB2312" w:hint="eastAsia"/>
        </w:rPr>
        <w:t>高管薪酬年均增长率为</w:t>
      </w:r>
      <w:r w:rsidRPr="00B260BD">
        <w:rPr>
          <w:rFonts w:ascii="Arial" w:eastAsia="楷体_GB2312" w:hAnsi="Arial" w:cs="Arial"/>
        </w:rPr>
        <w:t>21%</w:t>
      </w:r>
      <w:r w:rsidRPr="00B260BD">
        <w:rPr>
          <w:rFonts w:ascii="Arial" w:eastAsia="楷体_GB2312" w:hAnsi="Arial" w:cs="楷体_GB2312" w:hint="eastAsia"/>
        </w:rPr>
        <w:t>，而苏南五市</w:t>
      </w:r>
      <w:r w:rsidRPr="00B260BD">
        <w:rPr>
          <w:rStyle w:val="FootnoteReference"/>
          <w:rFonts w:ascii="Arial" w:eastAsia="楷体_GB2312" w:hAnsi="Arial" w:cs="Times New Roman"/>
        </w:rPr>
        <w:footnoteReference w:id="5"/>
      </w:r>
      <w:r w:rsidRPr="00B260BD">
        <w:rPr>
          <w:rFonts w:ascii="Arial" w:eastAsia="楷体_GB2312" w:hAnsi="Arial" w:cs="楷体_GB2312" w:hint="eastAsia"/>
        </w:rPr>
        <w:t>高管薪酬年均增长率仅为</w:t>
      </w:r>
      <w:r w:rsidRPr="00B260BD">
        <w:rPr>
          <w:rFonts w:ascii="Arial" w:eastAsia="楷体_GB2312" w:hAnsi="Arial" w:cs="Arial"/>
        </w:rPr>
        <w:t>1</w:t>
      </w:r>
      <w:r>
        <w:rPr>
          <w:rFonts w:ascii="Arial" w:eastAsia="楷体_GB2312" w:hAnsi="Arial" w:cs="Arial"/>
        </w:rPr>
        <w:t>1</w:t>
      </w:r>
      <w:r w:rsidRPr="00B260BD">
        <w:rPr>
          <w:rFonts w:ascii="Arial" w:eastAsia="楷体_GB2312" w:hAnsi="Arial" w:cs="Arial"/>
        </w:rPr>
        <w:t>%</w:t>
      </w:r>
      <w:r w:rsidRPr="00B260BD">
        <w:rPr>
          <w:rFonts w:ascii="Arial" w:eastAsia="楷体_GB2312" w:hAnsi="Arial" w:cs="楷体_GB2312" w:hint="eastAsia"/>
        </w:rPr>
        <w:t>，苏南地区高管薪酬年均增幅比苏北地区小。</w:t>
      </w:r>
    </w:p>
    <w:p w:rsidR="00DA0843" w:rsidRPr="00EF298D" w:rsidRDefault="00DA0843" w:rsidP="008D4B5F">
      <w:pPr>
        <w:spacing w:beforeLines="50"/>
        <w:outlineLvl w:val="1"/>
        <w:rPr>
          <w:rFonts w:ascii="Arial" w:eastAsia="楷体_GB2312" w:hAnsi="Arial" w:cs="Times New Roman"/>
          <w:b/>
          <w:bCs/>
          <w:sz w:val="22"/>
          <w:szCs w:val="22"/>
        </w:rPr>
      </w:pPr>
      <w:bookmarkStart w:id="5" w:name="_Toc332381632"/>
      <w:r>
        <w:rPr>
          <w:rFonts w:ascii="Arial" w:eastAsia="楷体_GB2312" w:hAnsi="Arial" w:cs="楷体_GB2312" w:hint="eastAsia"/>
          <w:b/>
          <w:bCs/>
          <w:sz w:val="22"/>
          <w:szCs w:val="22"/>
        </w:rPr>
        <w:t>所有制比较：</w:t>
      </w:r>
      <w:r w:rsidRPr="00EF298D">
        <w:rPr>
          <w:rFonts w:ascii="Arial" w:eastAsia="楷体_GB2312" w:hAnsi="Arial" w:cs="楷体_GB2312" w:hint="eastAsia"/>
          <w:b/>
          <w:bCs/>
          <w:sz w:val="22"/>
          <w:szCs w:val="22"/>
        </w:rPr>
        <w:t>国有控股上市公司高管薪酬逐渐赶超非国有控股上市公司</w:t>
      </w:r>
      <w:bookmarkEnd w:id="5"/>
    </w:p>
    <w:p w:rsidR="00DA0843" w:rsidRDefault="00DA0843" w:rsidP="00370B4F">
      <w:pPr>
        <w:spacing w:beforeLines="50"/>
        <w:ind w:firstLineChars="200" w:firstLine="31680"/>
        <w:rPr>
          <w:rFonts w:ascii="Arial" w:eastAsia="楷体_GB2312" w:hAnsi="Arial" w:cs="Times New Roman"/>
        </w:rPr>
      </w:pPr>
      <w:r>
        <w:rPr>
          <w:rFonts w:ascii="Arial" w:eastAsia="楷体_GB2312" w:hAnsi="Arial" w:cs="楷体_GB2312" w:hint="eastAsia"/>
        </w:rPr>
        <w:t>从</w:t>
      </w:r>
      <w:r>
        <w:rPr>
          <w:rFonts w:ascii="Arial" w:eastAsia="楷体_GB2312" w:hAnsi="Arial" w:cs="Arial"/>
        </w:rPr>
        <w:t>2008</w:t>
      </w:r>
      <w:r>
        <w:rPr>
          <w:rFonts w:ascii="Arial" w:eastAsia="楷体_GB2312" w:hAnsi="Arial" w:cs="楷体_GB2312" w:hint="eastAsia"/>
        </w:rPr>
        <w:t>年至</w:t>
      </w:r>
      <w:r>
        <w:rPr>
          <w:rFonts w:ascii="Arial" w:eastAsia="楷体_GB2312" w:hAnsi="Arial" w:cs="Arial"/>
        </w:rPr>
        <w:t>2012</w:t>
      </w:r>
      <w:r>
        <w:rPr>
          <w:rFonts w:ascii="Arial" w:eastAsia="楷体_GB2312" w:hAnsi="Arial" w:cs="楷体_GB2312" w:hint="eastAsia"/>
        </w:rPr>
        <w:t>年五年间江苏省国有控股上市公司和非国有控股上市公司的高管薪酬平均水平来看，两者均呈现逐年上涨的规律，并且前者的上涨幅度高于后者。</w:t>
      </w:r>
    </w:p>
    <w:p w:rsidR="00DA0843" w:rsidRDefault="00DA0843" w:rsidP="00370B4F">
      <w:pPr>
        <w:spacing w:beforeLines="50"/>
        <w:ind w:firstLineChars="200" w:firstLine="31680"/>
        <w:rPr>
          <w:rFonts w:ascii="Arial" w:eastAsia="楷体_GB2312" w:hAnsi="Arial" w:cs="Times New Roman"/>
        </w:rPr>
      </w:pPr>
      <w:r>
        <w:rPr>
          <w:rFonts w:ascii="Arial" w:eastAsia="楷体_GB2312" w:hAnsi="Arial" w:cs="Arial"/>
        </w:rPr>
        <w:t>2008</w:t>
      </w:r>
      <w:r>
        <w:rPr>
          <w:rFonts w:ascii="Arial" w:eastAsia="楷体_GB2312" w:hAnsi="Arial" w:cs="楷体_GB2312" w:hint="eastAsia"/>
        </w:rPr>
        <w:t>年、</w:t>
      </w:r>
      <w:r>
        <w:rPr>
          <w:rFonts w:ascii="Arial" w:eastAsia="楷体_GB2312" w:hAnsi="Arial" w:cs="Arial"/>
        </w:rPr>
        <w:t>2009</w:t>
      </w:r>
      <w:r>
        <w:rPr>
          <w:rFonts w:ascii="Arial" w:eastAsia="楷体_GB2312" w:hAnsi="Arial" w:cs="楷体_GB2312" w:hint="eastAsia"/>
        </w:rPr>
        <w:t>年，江苏省国有控股上市公司高管薪酬分别为</w:t>
      </w:r>
      <w:r>
        <w:rPr>
          <w:rFonts w:ascii="Arial" w:eastAsia="楷体_GB2312" w:hAnsi="Arial" w:cs="Arial"/>
        </w:rPr>
        <w:t>35.2</w:t>
      </w:r>
      <w:r>
        <w:rPr>
          <w:rFonts w:ascii="Arial" w:eastAsia="楷体_GB2312" w:hAnsi="Arial" w:cs="楷体_GB2312" w:hint="eastAsia"/>
        </w:rPr>
        <w:t>、</w:t>
      </w:r>
      <w:r>
        <w:rPr>
          <w:rFonts w:ascii="Arial" w:eastAsia="楷体_GB2312" w:hAnsi="Arial" w:cs="Arial"/>
        </w:rPr>
        <w:t>40.15</w:t>
      </w:r>
      <w:r>
        <w:rPr>
          <w:rFonts w:ascii="Arial" w:eastAsia="楷体_GB2312" w:hAnsi="Arial" w:cs="楷体_GB2312" w:hint="eastAsia"/>
        </w:rPr>
        <w:t>万元，皆低于非国有控股上市公司水平。</w:t>
      </w:r>
    </w:p>
    <w:p w:rsidR="00DA0843" w:rsidRDefault="00DA0843" w:rsidP="00370B4F">
      <w:pPr>
        <w:spacing w:beforeLines="50"/>
        <w:ind w:firstLineChars="200" w:firstLine="31680"/>
        <w:rPr>
          <w:rFonts w:ascii="Arial" w:eastAsia="楷体_GB2312" w:hAnsi="Arial" w:cs="Times New Roman"/>
        </w:rPr>
      </w:pPr>
      <w:r>
        <w:rPr>
          <w:rFonts w:ascii="Arial" w:eastAsia="楷体_GB2312" w:hAnsi="Arial" w:cs="楷体_GB2312" w:hint="eastAsia"/>
        </w:rPr>
        <w:t>到</w:t>
      </w:r>
      <w:r>
        <w:rPr>
          <w:rFonts w:ascii="Arial" w:eastAsia="楷体_GB2312" w:hAnsi="Arial" w:cs="Arial"/>
        </w:rPr>
        <w:t>2010</w:t>
      </w:r>
      <w:r>
        <w:rPr>
          <w:rFonts w:ascii="Arial" w:eastAsia="楷体_GB2312" w:hAnsi="Arial" w:cs="楷体_GB2312" w:hint="eastAsia"/>
        </w:rPr>
        <w:t>年、</w:t>
      </w:r>
      <w:r>
        <w:rPr>
          <w:rFonts w:ascii="Arial" w:eastAsia="楷体_GB2312" w:hAnsi="Arial" w:cs="Arial"/>
        </w:rPr>
        <w:t>2011</w:t>
      </w:r>
      <w:r>
        <w:rPr>
          <w:rFonts w:ascii="Arial" w:eastAsia="楷体_GB2312" w:hAnsi="Arial" w:cs="楷体_GB2312" w:hint="eastAsia"/>
        </w:rPr>
        <w:t>年和</w:t>
      </w:r>
      <w:r>
        <w:rPr>
          <w:rFonts w:ascii="Arial" w:eastAsia="楷体_GB2312" w:hAnsi="Arial" w:cs="Arial"/>
        </w:rPr>
        <w:t>2012</w:t>
      </w:r>
      <w:r>
        <w:rPr>
          <w:rFonts w:ascii="Arial" w:eastAsia="楷体_GB2312" w:hAnsi="Arial" w:cs="楷体_GB2312" w:hint="eastAsia"/>
        </w:rPr>
        <w:t>年，国有控股上市公司高管薪酬均值超过</w:t>
      </w:r>
      <w:r w:rsidRPr="001E6075">
        <w:rPr>
          <w:rFonts w:ascii="Arial" w:eastAsia="楷体_GB2312" w:hAnsi="Arial" w:cs="楷体_GB2312" w:hint="eastAsia"/>
        </w:rPr>
        <w:t>非国有控股上市公司</w:t>
      </w:r>
      <w:r>
        <w:rPr>
          <w:rFonts w:ascii="Arial" w:eastAsia="楷体_GB2312" w:hAnsi="Arial" w:cs="楷体_GB2312" w:hint="eastAsia"/>
        </w:rPr>
        <w:t>高管薪酬，达到</w:t>
      </w:r>
      <w:r>
        <w:rPr>
          <w:rFonts w:ascii="Arial" w:eastAsia="楷体_GB2312" w:hAnsi="Arial" w:cs="Arial"/>
        </w:rPr>
        <w:t>52.87</w:t>
      </w:r>
      <w:r>
        <w:rPr>
          <w:rFonts w:ascii="Arial" w:eastAsia="楷体_GB2312" w:hAnsi="Arial" w:cs="楷体_GB2312" w:hint="eastAsia"/>
        </w:rPr>
        <w:t>万元、</w:t>
      </w:r>
      <w:r>
        <w:rPr>
          <w:rFonts w:ascii="Arial" w:eastAsia="楷体_GB2312" w:hAnsi="Arial" w:cs="Arial"/>
        </w:rPr>
        <w:t>59.35</w:t>
      </w:r>
      <w:r>
        <w:rPr>
          <w:rFonts w:ascii="Arial" w:eastAsia="楷体_GB2312" w:hAnsi="Arial" w:cs="楷体_GB2312" w:hint="eastAsia"/>
        </w:rPr>
        <w:t>万元以及</w:t>
      </w:r>
      <w:r>
        <w:rPr>
          <w:rFonts w:ascii="Arial" w:eastAsia="楷体_GB2312" w:hAnsi="Arial" w:cs="Arial"/>
        </w:rPr>
        <w:t>61.96</w:t>
      </w:r>
      <w:r>
        <w:rPr>
          <w:rFonts w:ascii="Arial" w:eastAsia="楷体_GB2312" w:hAnsi="Arial" w:cs="楷体_GB2312" w:hint="eastAsia"/>
        </w:rPr>
        <w:t>万元，同期非国有上市公司仅为</w:t>
      </w:r>
      <w:r>
        <w:rPr>
          <w:rFonts w:ascii="Arial" w:eastAsia="楷体_GB2312" w:hAnsi="Arial" w:cs="Arial"/>
        </w:rPr>
        <w:t>47.54</w:t>
      </w:r>
      <w:r>
        <w:rPr>
          <w:rFonts w:ascii="Arial" w:eastAsia="楷体_GB2312" w:hAnsi="Arial" w:cs="楷体_GB2312" w:hint="eastAsia"/>
        </w:rPr>
        <w:t>万元、</w:t>
      </w:r>
      <w:r>
        <w:rPr>
          <w:rFonts w:ascii="Arial" w:eastAsia="楷体_GB2312" w:hAnsi="Arial" w:cs="Arial"/>
        </w:rPr>
        <w:t>53.55</w:t>
      </w:r>
      <w:r>
        <w:rPr>
          <w:rFonts w:ascii="Arial" w:eastAsia="楷体_GB2312" w:hAnsi="Arial" w:cs="楷体_GB2312" w:hint="eastAsia"/>
        </w:rPr>
        <w:t>万元和</w:t>
      </w:r>
      <w:r>
        <w:rPr>
          <w:rFonts w:ascii="Arial" w:eastAsia="楷体_GB2312" w:hAnsi="Arial" w:cs="Arial"/>
        </w:rPr>
        <w:t>56.26</w:t>
      </w:r>
      <w:r>
        <w:rPr>
          <w:rFonts w:ascii="Arial" w:eastAsia="楷体_GB2312" w:hAnsi="Arial" w:cs="楷体_GB2312" w:hint="eastAsia"/>
        </w:rPr>
        <w:t>万元。</w:t>
      </w:r>
    </w:p>
    <w:p w:rsidR="00DA0843" w:rsidRDefault="00DA0843" w:rsidP="00370B4F">
      <w:pPr>
        <w:spacing w:beforeLines="50"/>
        <w:ind w:firstLineChars="200" w:firstLine="31680"/>
        <w:rPr>
          <w:rFonts w:ascii="Arial" w:eastAsia="楷体_GB2312" w:hAnsi="Arial" w:cs="Times New Roman"/>
        </w:rPr>
      </w:pPr>
      <w:r>
        <w:rPr>
          <w:rFonts w:ascii="Arial" w:eastAsia="楷体_GB2312" w:hAnsi="Arial" w:cs="楷体_GB2312" w:hint="eastAsia"/>
        </w:rPr>
        <w:t>五年间，非国有控股上市公司高管薪酬均值平均增幅为</w:t>
      </w:r>
      <w:r>
        <w:rPr>
          <w:rFonts w:ascii="Arial" w:eastAsia="楷体_GB2312" w:hAnsi="Arial" w:cs="Arial"/>
        </w:rPr>
        <w:t>9.19%</w:t>
      </w:r>
      <w:r>
        <w:rPr>
          <w:rFonts w:ascii="Arial" w:eastAsia="楷体_GB2312" w:hAnsi="Arial" w:cs="楷体_GB2312" w:hint="eastAsia"/>
        </w:rPr>
        <w:t>，而</w:t>
      </w:r>
      <w:r w:rsidRPr="00C05B9D">
        <w:rPr>
          <w:rFonts w:ascii="Arial" w:eastAsia="楷体_GB2312" w:hAnsi="Arial" w:cs="楷体_GB2312" w:hint="eastAsia"/>
        </w:rPr>
        <w:t>国有控股上市公司高管薪酬均值</w:t>
      </w:r>
      <w:r>
        <w:rPr>
          <w:rFonts w:ascii="Arial" w:eastAsia="楷体_GB2312" w:hAnsi="Arial" w:cs="楷体_GB2312" w:hint="eastAsia"/>
        </w:rPr>
        <w:t>的</w:t>
      </w:r>
      <w:r w:rsidRPr="00C05B9D">
        <w:rPr>
          <w:rFonts w:ascii="Arial" w:eastAsia="楷体_GB2312" w:hAnsi="Arial" w:cs="楷体_GB2312" w:hint="eastAsia"/>
        </w:rPr>
        <w:t>平均增幅</w:t>
      </w:r>
      <w:r>
        <w:rPr>
          <w:rFonts w:ascii="Arial" w:eastAsia="楷体_GB2312" w:hAnsi="Arial" w:cs="楷体_GB2312" w:hint="eastAsia"/>
        </w:rPr>
        <w:t>则达到</w:t>
      </w:r>
      <w:r>
        <w:rPr>
          <w:rFonts w:ascii="Arial" w:eastAsia="楷体_GB2312" w:hAnsi="Arial" w:cs="Arial"/>
        </w:rPr>
        <w:t>15.18%</w:t>
      </w:r>
      <w:r>
        <w:rPr>
          <w:rFonts w:ascii="Arial" w:eastAsia="楷体_GB2312" w:hAnsi="Arial" w:cs="楷体_GB2312" w:hint="eastAsia"/>
        </w:rPr>
        <w:t>。</w:t>
      </w:r>
    </w:p>
    <w:p w:rsidR="00DA0843" w:rsidRPr="00EF298D" w:rsidRDefault="00DA0843" w:rsidP="008D4B5F">
      <w:pPr>
        <w:spacing w:beforeLines="50"/>
        <w:outlineLvl w:val="1"/>
        <w:rPr>
          <w:rFonts w:ascii="Arial" w:eastAsia="楷体_GB2312" w:hAnsi="Arial" w:cs="Times New Roman"/>
          <w:b/>
          <w:bCs/>
          <w:sz w:val="22"/>
          <w:szCs w:val="22"/>
        </w:rPr>
      </w:pPr>
      <w:bookmarkStart w:id="6" w:name="_Toc332381634"/>
      <w:r>
        <w:rPr>
          <w:rFonts w:ascii="Arial" w:eastAsia="楷体_GB2312" w:hAnsi="Arial" w:cs="楷体_GB2312" w:hint="eastAsia"/>
          <w:b/>
          <w:bCs/>
          <w:sz w:val="22"/>
          <w:szCs w:val="22"/>
        </w:rPr>
        <w:t>与业绩关联：江苏</w:t>
      </w:r>
      <w:r w:rsidRPr="00EF298D">
        <w:rPr>
          <w:rFonts w:ascii="Arial" w:eastAsia="楷体_GB2312" w:hAnsi="Arial" w:cs="楷体_GB2312" w:hint="eastAsia"/>
          <w:b/>
          <w:bCs/>
          <w:sz w:val="22"/>
          <w:szCs w:val="22"/>
        </w:rPr>
        <w:t>上市公司高管薪酬与经营业绩</w:t>
      </w:r>
      <w:bookmarkEnd w:id="6"/>
      <w:r w:rsidRPr="00EF298D">
        <w:rPr>
          <w:rFonts w:ascii="Arial" w:eastAsia="楷体_GB2312" w:hAnsi="Arial" w:cs="楷体_GB2312" w:hint="eastAsia"/>
          <w:b/>
          <w:bCs/>
          <w:sz w:val="22"/>
          <w:szCs w:val="22"/>
        </w:rPr>
        <w:t>有一定的相关度</w:t>
      </w:r>
    </w:p>
    <w:p w:rsidR="00DA0843" w:rsidRPr="00B260BD" w:rsidRDefault="00DA0843" w:rsidP="00CD4E43">
      <w:pPr>
        <w:spacing w:beforeLines="50"/>
        <w:ind w:firstLineChars="200" w:firstLine="31680"/>
        <w:rPr>
          <w:rFonts w:ascii="Arial" w:eastAsia="楷体_GB2312" w:hAnsi="Arial" w:cs="Times New Roman"/>
        </w:rPr>
      </w:pPr>
      <w:bookmarkStart w:id="7" w:name="_Toc332381635"/>
      <w:r w:rsidRPr="00B260BD">
        <w:rPr>
          <w:rFonts w:ascii="Arial" w:eastAsia="楷体_GB2312" w:hAnsi="Arial" w:cs="Arial"/>
        </w:rPr>
        <w:t>201</w:t>
      </w:r>
      <w:r>
        <w:rPr>
          <w:rFonts w:ascii="Arial" w:eastAsia="楷体_GB2312" w:hAnsi="Arial" w:cs="Arial"/>
        </w:rPr>
        <w:t>2</w:t>
      </w:r>
      <w:r>
        <w:rPr>
          <w:rFonts w:ascii="Arial" w:eastAsia="楷体_GB2312" w:hAnsi="Arial" w:cs="楷体_GB2312" w:hint="eastAsia"/>
        </w:rPr>
        <w:t>年江苏省上市公司总体发展较上年有所下降</w:t>
      </w:r>
      <w:r w:rsidRPr="00B260BD">
        <w:rPr>
          <w:rFonts w:ascii="Arial" w:eastAsia="楷体_GB2312" w:hAnsi="Arial" w:cs="楷体_GB2312" w:hint="eastAsia"/>
        </w:rPr>
        <w:t>。</w:t>
      </w:r>
    </w:p>
    <w:p w:rsidR="00DA0843" w:rsidRPr="00B260BD" w:rsidRDefault="00DA0843" w:rsidP="00370B4F">
      <w:pPr>
        <w:spacing w:beforeLines="50"/>
        <w:ind w:firstLineChars="200" w:firstLine="31680"/>
        <w:rPr>
          <w:rFonts w:ascii="Arial" w:eastAsia="楷体_GB2312" w:hAnsi="Arial" w:cs="Times New Roman"/>
        </w:rPr>
      </w:pPr>
      <w:r w:rsidRPr="00B260BD">
        <w:rPr>
          <w:rFonts w:ascii="Arial" w:eastAsia="楷体_GB2312" w:hAnsi="Arial" w:cs="楷体_GB2312" w:hint="eastAsia"/>
        </w:rPr>
        <w:t>从公司经营业绩角度看，</w:t>
      </w:r>
      <w:r w:rsidRPr="00B260BD">
        <w:rPr>
          <w:rFonts w:ascii="Arial" w:eastAsia="楷体_GB2312" w:hAnsi="Arial" w:cs="Arial"/>
        </w:rPr>
        <w:t>201</w:t>
      </w:r>
      <w:r>
        <w:rPr>
          <w:rFonts w:ascii="Arial" w:eastAsia="楷体_GB2312" w:hAnsi="Arial" w:cs="Arial"/>
        </w:rPr>
        <w:t>2</w:t>
      </w:r>
      <w:r w:rsidRPr="00B260BD">
        <w:rPr>
          <w:rFonts w:ascii="Arial" w:eastAsia="楷体_GB2312" w:hAnsi="Arial" w:cs="楷体_GB2312" w:hint="eastAsia"/>
        </w:rPr>
        <w:t>年江苏省上市公司平均创造营业收入</w:t>
      </w:r>
      <w:r>
        <w:rPr>
          <w:rFonts w:ascii="Arial" w:eastAsia="楷体_GB2312" w:hAnsi="Arial" w:cs="Arial"/>
        </w:rPr>
        <w:t>32.98</w:t>
      </w:r>
      <w:r w:rsidRPr="00B260BD">
        <w:rPr>
          <w:rFonts w:ascii="Arial" w:eastAsia="楷体_GB2312" w:hAnsi="Arial" w:cs="楷体_GB2312" w:hint="eastAsia"/>
        </w:rPr>
        <w:t>亿元，比</w:t>
      </w:r>
      <w:r>
        <w:rPr>
          <w:rFonts w:ascii="Arial" w:eastAsia="楷体_GB2312" w:hAnsi="Arial" w:cs="Arial"/>
        </w:rPr>
        <w:t>2011</w:t>
      </w:r>
      <w:r>
        <w:rPr>
          <w:rFonts w:ascii="Arial" w:eastAsia="楷体_GB2312" w:hAnsi="Arial" w:cs="楷体_GB2312" w:hint="eastAsia"/>
        </w:rPr>
        <w:t>年降低</w:t>
      </w:r>
      <w:r w:rsidRPr="00B260BD">
        <w:rPr>
          <w:rFonts w:ascii="Arial" w:eastAsia="楷体_GB2312" w:hAnsi="Arial" w:cs="楷体_GB2312" w:hint="eastAsia"/>
        </w:rPr>
        <w:t>了</w:t>
      </w:r>
      <w:r>
        <w:rPr>
          <w:rFonts w:ascii="Arial" w:eastAsia="楷体_GB2312" w:hAnsi="Arial" w:cs="Arial"/>
        </w:rPr>
        <w:t>7.72</w:t>
      </w:r>
      <w:r w:rsidRPr="00B260BD">
        <w:rPr>
          <w:rFonts w:ascii="Arial" w:eastAsia="楷体_GB2312" w:hAnsi="Arial" w:cs="Arial"/>
        </w:rPr>
        <w:t>%</w:t>
      </w:r>
      <w:r w:rsidRPr="00B260BD">
        <w:rPr>
          <w:rFonts w:ascii="Arial" w:eastAsia="楷体_GB2312" w:hAnsi="Arial" w:cs="楷体_GB2312" w:hint="eastAsia"/>
        </w:rPr>
        <w:t>；年均创造净利润</w:t>
      </w:r>
      <w:r>
        <w:rPr>
          <w:rFonts w:ascii="Arial" w:eastAsia="楷体_GB2312" w:hAnsi="Arial" w:cs="Arial"/>
        </w:rPr>
        <w:t>1.82</w:t>
      </w:r>
      <w:r w:rsidRPr="00B260BD">
        <w:rPr>
          <w:rFonts w:ascii="Arial" w:eastAsia="楷体_GB2312" w:hAnsi="Arial" w:cs="楷体_GB2312" w:hint="eastAsia"/>
        </w:rPr>
        <w:t>亿元，相比</w:t>
      </w:r>
      <w:r w:rsidRPr="00B260BD">
        <w:rPr>
          <w:rFonts w:ascii="Arial" w:eastAsia="楷体_GB2312" w:hAnsi="Arial" w:cs="Arial"/>
        </w:rPr>
        <w:t>201</w:t>
      </w:r>
      <w:r>
        <w:rPr>
          <w:rFonts w:ascii="Arial" w:eastAsia="楷体_GB2312" w:hAnsi="Arial" w:cs="Arial"/>
        </w:rPr>
        <w:t>1</w:t>
      </w:r>
      <w:r w:rsidRPr="00B260BD">
        <w:rPr>
          <w:rFonts w:ascii="Arial" w:eastAsia="楷体_GB2312" w:hAnsi="Arial" w:cs="楷体_GB2312" w:hint="eastAsia"/>
        </w:rPr>
        <w:t>年</w:t>
      </w:r>
      <w:r w:rsidRPr="00B260BD">
        <w:rPr>
          <w:rFonts w:ascii="Arial" w:eastAsia="楷体_GB2312" w:hAnsi="Arial" w:cs="Arial"/>
        </w:rPr>
        <w:t>2.2</w:t>
      </w:r>
      <w:r>
        <w:rPr>
          <w:rFonts w:ascii="Arial" w:eastAsia="楷体_GB2312" w:hAnsi="Arial" w:cs="Arial"/>
        </w:rPr>
        <w:t>3</w:t>
      </w:r>
      <w:r w:rsidRPr="00B260BD">
        <w:rPr>
          <w:rFonts w:ascii="Arial" w:eastAsia="楷体_GB2312" w:hAnsi="Arial" w:cs="楷体_GB2312" w:hint="eastAsia"/>
        </w:rPr>
        <w:t>亿元</w:t>
      </w:r>
      <w:r>
        <w:rPr>
          <w:rFonts w:ascii="Arial" w:eastAsia="楷体_GB2312" w:hAnsi="Arial" w:cs="楷体_GB2312" w:hint="eastAsia"/>
        </w:rPr>
        <w:t>也有了较大幅度的</w:t>
      </w:r>
      <w:r w:rsidRPr="00B260BD">
        <w:rPr>
          <w:rFonts w:ascii="Arial" w:eastAsia="楷体_GB2312" w:hAnsi="Arial" w:cs="楷体_GB2312" w:hint="eastAsia"/>
        </w:rPr>
        <w:t>回落</w:t>
      </w:r>
      <w:r>
        <w:rPr>
          <w:rFonts w:ascii="Arial" w:eastAsia="楷体_GB2312" w:hAnsi="Arial" w:cs="楷体_GB2312" w:hint="eastAsia"/>
        </w:rPr>
        <w:t>，降幅达到</w:t>
      </w:r>
      <w:r>
        <w:rPr>
          <w:rFonts w:ascii="Arial" w:eastAsia="楷体_GB2312" w:hAnsi="Arial" w:cs="Arial"/>
        </w:rPr>
        <w:t>18.39%</w:t>
      </w:r>
      <w:r w:rsidRPr="00B260BD">
        <w:rPr>
          <w:rFonts w:ascii="Arial" w:eastAsia="楷体_GB2312" w:hAnsi="Arial" w:cs="楷体_GB2312" w:hint="eastAsia"/>
        </w:rPr>
        <w:t>。</w:t>
      </w:r>
    </w:p>
    <w:p w:rsidR="00DA0843" w:rsidRPr="00A67AD5" w:rsidRDefault="00DA0843" w:rsidP="00370B4F">
      <w:pPr>
        <w:spacing w:beforeLines="50"/>
        <w:ind w:firstLineChars="200" w:firstLine="31680"/>
        <w:rPr>
          <w:rFonts w:ascii="Arial" w:eastAsia="楷体_GB2312" w:hAnsi="Arial" w:cs="Times New Roman"/>
          <w:color w:val="FF0000"/>
        </w:rPr>
      </w:pPr>
      <w:r w:rsidRPr="00B260BD">
        <w:rPr>
          <w:rFonts w:ascii="Arial" w:eastAsia="楷体_GB2312" w:hAnsi="Arial" w:cs="楷体_GB2312" w:hint="eastAsia"/>
        </w:rPr>
        <w:t>为了探索高管薪酬与公司业绩是否存在一定的相关性，</w:t>
      </w:r>
      <w:r>
        <w:rPr>
          <w:rFonts w:ascii="Arial" w:eastAsia="楷体_GB2312" w:hAnsi="Arial" w:cs="楷体_GB2312" w:hint="eastAsia"/>
        </w:rPr>
        <w:t>联合咨询中心</w:t>
      </w:r>
      <w:r w:rsidRPr="00B260BD">
        <w:rPr>
          <w:rFonts w:ascii="Arial" w:eastAsia="楷体_GB2312" w:hAnsi="Arial" w:cs="楷体_GB2312" w:hint="eastAsia"/>
        </w:rPr>
        <w:t>通过相关性分析高管薪酬与业绩表现之间的关系</w:t>
      </w:r>
      <w:r>
        <w:rPr>
          <w:rFonts w:ascii="Arial" w:eastAsia="楷体_GB2312" w:hAnsi="Arial" w:cs="楷体_GB2312" w:hint="eastAsia"/>
        </w:rPr>
        <w:t>，</w:t>
      </w:r>
      <w:r w:rsidRPr="00B260BD">
        <w:rPr>
          <w:rFonts w:ascii="Arial" w:eastAsia="楷体_GB2312" w:hAnsi="Arial" w:cs="楷体_GB2312" w:hint="eastAsia"/>
        </w:rPr>
        <w:t>发现：江苏省上市公司高管薪酬与营业收入、净利润</w:t>
      </w:r>
      <w:r>
        <w:rPr>
          <w:rFonts w:ascii="Arial" w:eastAsia="楷体_GB2312" w:hAnsi="Arial" w:cs="楷体_GB2312" w:hint="eastAsia"/>
        </w:rPr>
        <w:t>和每股收益</w:t>
      </w:r>
      <w:r w:rsidRPr="00B260BD">
        <w:rPr>
          <w:rFonts w:ascii="Arial" w:eastAsia="楷体_GB2312" w:hAnsi="Arial" w:cs="楷体_GB2312" w:hint="eastAsia"/>
        </w:rPr>
        <w:t>之间的有明显的相关性，但影响系数非常小，而上市公司高管薪酬与净资产收益率则没有相关</w:t>
      </w:r>
      <w:r>
        <w:rPr>
          <w:rFonts w:ascii="Arial" w:eastAsia="楷体_GB2312" w:hAnsi="Arial" w:cs="楷体_GB2312" w:hint="eastAsia"/>
        </w:rPr>
        <w:t>性</w:t>
      </w:r>
      <w:r w:rsidRPr="00B260BD">
        <w:rPr>
          <w:rFonts w:ascii="Arial" w:eastAsia="楷体_GB2312" w:hAnsi="Arial" w:cs="楷体_GB2312" w:hint="eastAsia"/>
        </w:rPr>
        <w:t>。</w:t>
      </w:r>
    </w:p>
    <w:p w:rsidR="00DA0843" w:rsidRPr="00393F3B" w:rsidRDefault="00DA0843" w:rsidP="008D4B5F">
      <w:pPr>
        <w:spacing w:beforeLines="50"/>
        <w:outlineLvl w:val="1"/>
        <w:rPr>
          <w:rFonts w:ascii="Arial" w:eastAsia="楷体_GB2312" w:hAnsi="Arial" w:cs="Times New Roman"/>
          <w:b/>
          <w:bCs/>
          <w:sz w:val="22"/>
          <w:szCs w:val="22"/>
        </w:rPr>
      </w:pPr>
      <w:r w:rsidRPr="00393F3B">
        <w:rPr>
          <w:rFonts w:ascii="Arial" w:eastAsia="楷体_GB2312" w:hAnsi="Arial" w:cs="楷体_GB2312" w:hint="eastAsia"/>
          <w:b/>
          <w:bCs/>
          <w:sz w:val="22"/>
          <w:szCs w:val="22"/>
        </w:rPr>
        <w:t>股权激励：</w:t>
      </w:r>
      <w:r>
        <w:rPr>
          <w:rFonts w:ascii="Arial" w:eastAsia="楷体_GB2312" w:hAnsi="Arial" w:cs="楷体_GB2312" w:hint="eastAsia"/>
          <w:b/>
          <w:bCs/>
          <w:sz w:val="22"/>
          <w:szCs w:val="22"/>
        </w:rPr>
        <w:t>江苏</w:t>
      </w:r>
      <w:r w:rsidRPr="00393F3B">
        <w:rPr>
          <w:rFonts w:ascii="Arial" w:eastAsia="楷体_GB2312" w:hAnsi="Arial" w:cs="Arial"/>
          <w:b/>
          <w:bCs/>
          <w:sz w:val="22"/>
          <w:szCs w:val="22"/>
        </w:rPr>
        <w:t>12%</w:t>
      </w:r>
      <w:r w:rsidRPr="00393F3B">
        <w:rPr>
          <w:rFonts w:ascii="Arial" w:eastAsia="楷体_GB2312" w:hAnsi="Arial" w:cs="楷体_GB2312" w:hint="eastAsia"/>
          <w:b/>
          <w:bCs/>
          <w:sz w:val="22"/>
          <w:szCs w:val="22"/>
        </w:rPr>
        <w:t>上市公司实施股权激励</w:t>
      </w:r>
      <w:bookmarkEnd w:id="7"/>
      <w:r w:rsidRPr="00393F3B">
        <w:rPr>
          <w:rFonts w:ascii="Arial" w:eastAsia="楷体_GB2312" w:hAnsi="Arial" w:cs="楷体_GB2312" w:hint="eastAsia"/>
          <w:b/>
          <w:bCs/>
          <w:sz w:val="22"/>
          <w:szCs w:val="22"/>
        </w:rPr>
        <w:t>，股票期权为主要实施工具</w:t>
      </w:r>
    </w:p>
    <w:p w:rsidR="00DA0843" w:rsidRPr="00B260BD" w:rsidRDefault="00DA0843" w:rsidP="00370B4F">
      <w:pPr>
        <w:spacing w:beforeLines="50" w:line="276" w:lineRule="auto"/>
        <w:ind w:firstLineChars="200" w:firstLine="31680"/>
        <w:rPr>
          <w:rFonts w:ascii="Arial" w:eastAsia="楷体_GB2312" w:hAnsi="Arial" w:cs="Times New Roman"/>
        </w:rPr>
      </w:pPr>
      <w:r w:rsidRPr="00B260BD">
        <w:rPr>
          <w:rFonts w:ascii="Arial" w:eastAsia="楷体_GB2312" w:hAnsi="Arial" w:cs="楷体_GB2312" w:hint="eastAsia"/>
        </w:rPr>
        <w:t>江苏地区上市公司一共有</w:t>
      </w:r>
      <w:r>
        <w:rPr>
          <w:rFonts w:ascii="Arial" w:eastAsia="楷体_GB2312" w:hAnsi="Arial" w:cs="Arial"/>
        </w:rPr>
        <w:t>43</w:t>
      </w:r>
      <w:r>
        <w:rPr>
          <w:rFonts w:ascii="Arial" w:eastAsia="楷体_GB2312" w:hAnsi="Arial" w:cs="楷体_GB2312" w:hint="eastAsia"/>
        </w:rPr>
        <w:t>家公司推出过</w:t>
      </w:r>
      <w:r w:rsidRPr="00B260BD">
        <w:rPr>
          <w:rFonts w:ascii="Arial" w:eastAsia="楷体_GB2312" w:hAnsi="Arial" w:cs="楷体_GB2312" w:hint="eastAsia"/>
        </w:rPr>
        <w:t>股权激励</w:t>
      </w:r>
      <w:r>
        <w:rPr>
          <w:rStyle w:val="FootnoteReference"/>
          <w:rFonts w:ascii="Arial" w:eastAsia="楷体_GB2312" w:hAnsi="Arial" w:cs="Times New Roman"/>
        </w:rPr>
        <w:footnoteReference w:id="6"/>
      </w:r>
      <w:r>
        <w:rPr>
          <w:rFonts w:ascii="Arial" w:eastAsia="楷体_GB2312" w:hAnsi="Arial" w:cs="楷体_GB2312" w:hint="eastAsia"/>
        </w:rPr>
        <w:t>计划</w:t>
      </w:r>
      <w:r w:rsidRPr="00B260BD">
        <w:rPr>
          <w:rFonts w:ascii="Arial" w:eastAsia="楷体_GB2312" w:hAnsi="Arial" w:cs="楷体_GB2312" w:hint="eastAsia"/>
        </w:rPr>
        <w:t>，占江苏省上市公司总数</w:t>
      </w:r>
      <w:r>
        <w:rPr>
          <w:rFonts w:ascii="Arial" w:eastAsia="楷体_GB2312" w:hAnsi="Arial" w:cs="Arial"/>
        </w:rPr>
        <w:t>18.29</w:t>
      </w:r>
      <w:r w:rsidRPr="00B260BD">
        <w:rPr>
          <w:rFonts w:ascii="Arial" w:eastAsia="楷体_GB2312" w:hAnsi="Arial" w:cs="Arial"/>
        </w:rPr>
        <w:t>%</w:t>
      </w:r>
      <w:r>
        <w:rPr>
          <w:rFonts w:ascii="Arial" w:eastAsia="楷体_GB2312" w:hAnsi="Arial" w:cs="楷体_GB2312" w:hint="eastAsia"/>
        </w:rPr>
        <w:t>，这些公司共推出</w:t>
      </w:r>
      <w:r>
        <w:rPr>
          <w:rFonts w:ascii="Arial" w:eastAsia="楷体_GB2312" w:hAnsi="Arial" w:cs="Arial"/>
        </w:rPr>
        <w:t>50</w:t>
      </w:r>
      <w:r>
        <w:rPr>
          <w:rFonts w:ascii="Arial" w:eastAsia="楷体_GB2312" w:hAnsi="Arial" w:cs="楷体_GB2312" w:hint="eastAsia"/>
        </w:rPr>
        <w:t>份股权激励计划，其中新海宜、金智科技、</w:t>
      </w:r>
      <w:r w:rsidRPr="00B260BD">
        <w:rPr>
          <w:rFonts w:ascii="Arial" w:eastAsia="楷体_GB2312" w:hAnsi="Arial" w:cs="楷体_GB2312" w:hint="eastAsia"/>
        </w:rPr>
        <w:t>新宁物流、燃控科技</w:t>
      </w:r>
      <w:r>
        <w:rPr>
          <w:rFonts w:ascii="Arial" w:eastAsia="楷体_GB2312" w:hAnsi="Arial" w:cs="楷体_GB2312" w:hint="eastAsia"/>
        </w:rPr>
        <w:t>和宏图高科推出</w:t>
      </w:r>
      <w:r w:rsidRPr="00B260BD">
        <w:rPr>
          <w:rFonts w:ascii="Arial" w:eastAsia="楷体_GB2312" w:hAnsi="Arial" w:cs="楷体_GB2312" w:hint="eastAsia"/>
        </w:rPr>
        <w:t>了两次方案</w:t>
      </w:r>
      <w:r>
        <w:rPr>
          <w:rFonts w:ascii="Arial" w:eastAsia="楷体_GB2312" w:hAnsi="Arial" w:cs="楷体_GB2312" w:hint="eastAsia"/>
        </w:rPr>
        <w:t>，苏宁云商则推出了三期方案</w:t>
      </w:r>
      <w:r w:rsidRPr="00B260BD">
        <w:rPr>
          <w:rFonts w:ascii="Arial" w:eastAsia="楷体_GB2312" w:hAnsi="Arial" w:cs="楷体_GB2312" w:hint="eastAsia"/>
        </w:rPr>
        <w:t>。</w:t>
      </w:r>
      <w:r w:rsidRPr="0061787A">
        <w:rPr>
          <w:rFonts w:ascii="Arial" w:eastAsia="楷体_GB2312" w:hAnsi="Arial" w:cs="楷体_GB2312" w:hint="eastAsia"/>
        </w:rPr>
        <w:t>除去未通过、停止实施以及还处于董事会预案、股东大会通过阶段的预案，目前正在实施股权激励的公司共</w:t>
      </w:r>
      <w:r w:rsidRPr="0061787A">
        <w:rPr>
          <w:rFonts w:ascii="Arial" w:eastAsia="楷体_GB2312" w:hAnsi="Arial" w:cs="Arial"/>
        </w:rPr>
        <w:t>28</w:t>
      </w:r>
      <w:r w:rsidRPr="0061787A">
        <w:rPr>
          <w:rFonts w:ascii="Arial" w:eastAsia="楷体_GB2312" w:hAnsi="Arial" w:cs="楷体_GB2312" w:hint="eastAsia"/>
        </w:rPr>
        <w:t>家，占上市公司总数的</w:t>
      </w:r>
      <w:r w:rsidRPr="0061787A">
        <w:rPr>
          <w:rFonts w:ascii="Arial" w:eastAsia="楷体_GB2312" w:hAnsi="Arial" w:cs="Arial"/>
        </w:rPr>
        <w:t>11.9%</w:t>
      </w:r>
      <w:r>
        <w:rPr>
          <w:rFonts w:ascii="Arial" w:eastAsia="楷体_GB2312" w:hAnsi="Arial" w:cs="楷体_GB2312" w:hint="eastAsia"/>
        </w:rPr>
        <w:t>。在所有推出的方案中，</w:t>
      </w:r>
      <w:r>
        <w:rPr>
          <w:rFonts w:ascii="Arial" w:eastAsia="楷体_GB2312" w:hAnsi="Arial" w:cs="Arial"/>
        </w:rPr>
        <w:t>42</w:t>
      </w:r>
      <w:r w:rsidRPr="00B260BD">
        <w:rPr>
          <w:rFonts w:ascii="Arial" w:eastAsia="楷体_GB2312" w:hAnsi="Arial" w:cs="Arial"/>
        </w:rPr>
        <w:t>%</w:t>
      </w:r>
      <w:r w:rsidRPr="00B260BD">
        <w:rPr>
          <w:rFonts w:ascii="Arial" w:eastAsia="楷体_GB2312" w:hAnsi="Arial" w:cs="楷体_GB2312" w:hint="eastAsia"/>
        </w:rPr>
        <w:t>选择限制性股票作为实施工具，</w:t>
      </w:r>
      <w:r>
        <w:rPr>
          <w:rFonts w:ascii="Arial" w:eastAsia="楷体_GB2312" w:hAnsi="Arial" w:cs="Arial"/>
        </w:rPr>
        <w:t>58</w:t>
      </w:r>
      <w:r w:rsidRPr="00B260BD">
        <w:rPr>
          <w:rFonts w:ascii="Arial" w:eastAsia="楷体_GB2312" w:hAnsi="Arial" w:cs="Arial"/>
        </w:rPr>
        <w:t>%</w:t>
      </w:r>
      <w:r w:rsidRPr="00B260BD">
        <w:rPr>
          <w:rFonts w:ascii="Arial" w:eastAsia="楷体_GB2312" w:hAnsi="Arial" w:cs="楷体_GB2312" w:hint="eastAsia"/>
        </w:rPr>
        <w:t>选择股票期权作为实施工具。</w:t>
      </w:r>
    </w:p>
    <w:p w:rsidR="00DA0843" w:rsidRPr="00541E1A" w:rsidRDefault="00DA0843" w:rsidP="00370B4F">
      <w:pPr>
        <w:spacing w:beforeLines="50" w:line="276" w:lineRule="auto"/>
        <w:ind w:firstLineChars="200" w:firstLine="31680"/>
        <w:rPr>
          <w:rFonts w:ascii="Arial" w:eastAsia="楷体_GB2312" w:hAnsi="Arial" w:cs="Times New Roman"/>
        </w:rPr>
      </w:pPr>
      <w:r w:rsidRPr="00541E1A">
        <w:rPr>
          <w:rFonts w:ascii="Arial" w:eastAsia="楷体_GB2312" w:hAnsi="Arial" w:cs="楷体_GB2312" w:hint="eastAsia"/>
        </w:rPr>
        <w:t>江苏地区上市公司近年来已经基本建立了高管薪酬的体制，薪酬总额也保持者稳步增长。</w:t>
      </w:r>
      <w:r>
        <w:rPr>
          <w:rFonts w:ascii="Arial" w:eastAsia="楷体_GB2312" w:hAnsi="Arial" w:cs="楷体_GB2312" w:hint="eastAsia"/>
        </w:rPr>
        <w:t>近年来</w:t>
      </w:r>
      <w:r w:rsidRPr="00541E1A">
        <w:rPr>
          <w:rFonts w:ascii="Arial" w:eastAsia="楷体_GB2312" w:hAnsi="Arial" w:cs="楷体_GB2312" w:hint="eastAsia"/>
        </w:rPr>
        <w:t>，江苏地区上市公司</w:t>
      </w:r>
      <w:r>
        <w:rPr>
          <w:rFonts w:ascii="Arial" w:eastAsia="楷体_GB2312" w:hAnsi="Arial" w:cs="楷体_GB2312" w:hint="eastAsia"/>
        </w:rPr>
        <w:t>在高管薪酬的长期激励方面予以了较高的重视，股权激励计划推出的数量逐年递增。</w:t>
      </w:r>
      <w:r w:rsidRPr="00541E1A">
        <w:rPr>
          <w:rFonts w:ascii="Arial" w:eastAsia="楷体_GB2312" w:hAnsi="Arial" w:cs="楷体_GB2312" w:hint="eastAsia"/>
        </w:rPr>
        <w:t>但目前江苏地区的高管薪酬体系</w:t>
      </w:r>
      <w:r>
        <w:rPr>
          <w:rFonts w:ascii="Arial" w:eastAsia="楷体_GB2312" w:hAnsi="Arial" w:cs="楷体_GB2312" w:hint="eastAsia"/>
        </w:rPr>
        <w:t>中</w:t>
      </w:r>
      <w:r w:rsidRPr="00541E1A">
        <w:rPr>
          <w:rFonts w:ascii="Arial" w:eastAsia="楷体_GB2312" w:hAnsi="Arial" w:cs="楷体_GB2312" w:hint="eastAsia"/>
        </w:rPr>
        <w:t>以现金模式为主</w:t>
      </w:r>
      <w:r>
        <w:rPr>
          <w:rFonts w:ascii="Arial" w:eastAsia="楷体_GB2312" w:hAnsi="Arial" w:cs="楷体_GB2312" w:hint="eastAsia"/>
        </w:rPr>
        <w:t>上市公司的依然占到较大比例</w:t>
      </w:r>
      <w:r w:rsidRPr="00541E1A">
        <w:rPr>
          <w:rFonts w:ascii="Arial" w:eastAsia="楷体_GB2312" w:hAnsi="Arial" w:cs="楷体_GB2312" w:hint="eastAsia"/>
        </w:rPr>
        <w:t>，薪酬结构</w:t>
      </w:r>
      <w:r>
        <w:rPr>
          <w:rFonts w:ascii="Arial" w:eastAsia="楷体_GB2312" w:hAnsi="Arial" w:cs="楷体_GB2312" w:hint="eastAsia"/>
        </w:rPr>
        <w:t>仍</w:t>
      </w:r>
      <w:r w:rsidRPr="00541E1A">
        <w:rPr>
          <w:rFonts w:ascii="Arial" w:eastAsia="楷体_GB2312" w:hAnsi="Arial" w:cs="楷体_GB2312" w:hint="eastAsia"/>
        </w:rPr>
        <w:t>待</w:t>
      </w:r>
      <w:r>
        <w:rPr>
          <w:rFonts w:ascii="Arial" w:eastAsia="楷体_GB2312" w:hAnsi="Arial" w:cs="楷体_GB2312" w:hint="eastAsia"/>
        </w:rPr>
        <w:t>进一步</w:t>
      </w:r>
      <w:r w:rsidRPr="00541E1A">
        <w:rPr>
          <w:rFonts w:ascii="Arial" w:eastAsia="楷体_GB2312" w:hAnsi="Arial" w:cs="楷体_GB2312" w:hint="eastAsia"/>
        </w:rPr>
        <w:t>完善。</w:t>
      </w:r>
    </w:p>
    <w:p w:rsidR="00DA0843" w:rsidRPr="008F3C6B" w:rsidRDefault="00DA0843" w:rsidP="008D4B5F">
      <w:pPr>
        <w:spacing w:beforeLines="50" w:line="276" w:lineRule="auto"/>
        <w:outlineLvl w:val="0"/>
        <w:rPr>
          <w:rFonts w:ascii="Arial" w:eastAsia="楷体_GB2312" w:hAnsi="Arial" w:cs="Times New Roman"/>
          <w:b/>
          <w:bCs/>
          <w:sz w:val="24"/>
          <w:szCs w:val="24"/>
        </w:rPr>
      </w:pPr>
      <w:r>
        <w:rPr>
          <w:rFonts w:ascii="Arial" w:eastAsia="楷体_GB2312" w:hAnsi="Arial" w:cs="楷体_GB2312" w:hint="eastAsia"/>
          <w:b/>
          <w:bCs/>
          <w:sz w:val="24"/>
          <w:szCs w:val="24"/>
        </w:rPr>
        <w:t>江苏地区上市公司</w:t>
      </w:r>
      <w:r w:rsidRPr="008F3C6B">
        <w:rPr>
          <w:rFonts w:ascii="Arial" w:eastAsia="楷体_GB2312" w:hAnsi="Arial" w:cs="楷体_GB2312" w:hint="eastAsia"/>
          <w:b/>
          <w:bCs/>
          <w:sz w:val="24"/>
          <w:szCs w:val="24"/>
        </w:rPr>
        <w:t>高管薪酬激励程度</w:t>
      </w:r>
    </w:p>
    <w:p w:rsidR="00DA0843" w:rsidRPr="008A665E" w:rsidRDefault="00DA0843" w:rsidP="00370B4F">
      <w:pPr>
        <w:spacing w:beforeLines="50"/>
        <w:ind w:firstLineChars="200" w:firstLine="31680"/>
        <w:rPr>
          <w:rFonts w:ascii="Arial" w:eastAsia="楷体_GB2312" w:hAnsi="Arial" w:cs="Times New Roman"/>
          <w:sz w:val="18"/>
          <w:szCs w:val="18"/>
        </w:rPr>
      </w:pPr>
      <w:r>
        <w:rPr>
          <w:rFonts w:ascii="Arial" w:eastAsia="楷体_GB2312" w:hAnsi="Arial" w:cs="楷体_GB2312" w:hint="eastAsia"/>
        </w:rPr>
        <w:t>联合咨询中心</w:t>
      </w:r>
      <w:r w:rsidRPr="008A665E">
        <w:rPr>
          <w:rFonts w:ascii="楷体_GB2312" w:eastAsia="楷体_GB2312" w:hAnsi="宋体" w:cs="楷体_GB2312" w:hint="eastAsia"/>
        </w:rPr>
        <w:t>高管薪酬咨询中心，历时</w:t>
      </w:r>
      <w:r>
        <w:rPr>
          <w:rFonts w:ascii="Arial" w:eastAsia="楷体_GB2312" w:hAnsi="Arial" w:cs="Arial"/>
        </w:rPr>
        <w:t>7</w:t>
      </w:r>
      <w:r w:rsidRPr="008A665E">
        <w:rPr>
          <w:rFonts w:ascii="Arial" w:eastAsia="楷体_GB2312" w:hAnsi="Arial" w:cs="楷体_GB2312" w:hint="eastAsia"/>
        </w:rPr>
        <w:t>年时间，收集</w:t>
      </w:r>
      <w:r>
        <w:rPr>
          <w:rFonts w:ascii="Arial" w:eastAsia="楷体_GB2312" w:hAnsi="Arial" w:cs="Arial"/>
        </w:rPr>
        <w:t>2006~2012</w:t>
      </w:r>
      <w:r w:rsidRPr="008A665E">
        <w:rPr>
          <w:rFonts w:ascii="Arial" w:eastAsia="楷体_GB2312" w:hAnsi="Arial" w:cs="楷体_GB2312" w:hint="eastAsia"/>
        </w:rPr>
        <w:t>年上市公司数据以及全国各地区、行业相关数据，有效挖掘数据内在意义和价值，充分尊重市场内在逻辑，将理论与实证相结合，寻找出真正影响高管薪酬水平的因素及其内在关联，建构出当前中国上市公司高管薪酬水平市场标杆模型，为我国上市公司高管薪酬水平定价和管理提供重要参照。</w:t>
      </w:r>
    </w:p>
    <w:p w:rsidR="00DA0843" w:rsidRPr="008A665E" w:rsidRDefault="00DA0843" w:rsidP="00370B4F">
      <w:pPr>
        <w:spacing w:beforeLines="50"/>
        <w:ind w:firstLineChars="200" w:firstLine="31680"/>
        <w:rPr>
          <w:rFonts w:ascii="Arial" w:eastAsia="楷体_GB2312" w:hAnsi="Arial" w:cs="Times New Roman"/>
        </w:rPr>
      </w:pPr>
      <w:r w:rsidRPr="008A665E">
        <w:rPr>
          <w:rFonts w:ascii="Arial" w:eastAsia="楷体_GB2312" w:hAnsi="Arial" w:cs="楷体_GB2312" w:hint="eastAsia"/>
        </w:rPr>
        <w:t>经实证分析，</w:t>
      </w:r>
      <w:r>
        <w:rPr>
          <w:rFonts w:ascii="Arial" w:eastAsia="楷体_GB2312" w:hAnsi="Arial" w:cs="楷体_GB2312" w:hint="eastAsia"/>
        </w:rPr>
        <w:t>联合咨询中心对</w:t>
      </w:r>
      <w:r w:rsidRPr="008A665E">
        <w:rPr>
          <w:rFonts w:ascii="Arial" w:eastAsia="楷体_GB2312" w:hAnsi="Arial" w:cs="Arial"/>
        </w:rPr>
        <w:t>2008</w:t>
      </w:r>
      <w:r>
        <w:rPr>
          <w:rFonts w:ascii="Arial" w:eastAsia="楷体_GB2312" w:hAnsi="Arial" w:cs="Arial"/>
        </w:rPr>
        <w:t>-2012</w:t>
      </w:r>
      <w:r>
        <w:rPr>
          <w:rFonts w:ascii="Arial" w:eastAsia="楷体_GB2312" w:hAnsi="Arial" w:cs="楷体_GB2312" w:hint="eastAsia"/>
        </w:rPr>
        <w:t>年五</w:t>
      </w:r>
      <w:r w:rsidRPr="008A665E">
        <w:rPr>
          <w:rFonts w:ascii="Arial" w:eastAsia="楷体_GB2312" w:hAnsi="Arial" w:cs="楷体_GB2312" w:hint="eastAsia"/>
        </w:rPr>
        <w:t>年上市公司薪酬和其他数据进行研究，充分挖掘出当前影响上市公司高管薪酬水平的主要因素，并通过</w:t>
      </w:r>
      <w:r>
        <w:rPr>
          <w:rFonts w:ascii="Arial" w:eastAsia="楷体_GB2312" w:hAnsi="Arial" w:cs="楷体_GB2312" w:hint="eastAsia"/>
        </w:rPr>
        <w:t>岭回归</w:t>
      </w:r>
      <w:r w:rsidRPr="008A665E">
        <w:rPr>
          <w:rFonts w:ascii="Arial" w:eastAsia="楷体_GB2312" w:hAnsi="Arial" w:cs="楷体_GB2312" w:hint="eastAsia"/>
        </w:rPr>
        <w:t>分析和多次检验，最终得到我国上市公司高管薪酬水平的市场标杆模型：</w:t>
      </w:r>
    </w:p>
    <w:p w:rsidR="00DA0843" w:rsidRPr="001631A9" w:rsidRDefault="00DA0843" w:rsidP="008D4B5F">
      <w:pPr>
        <w:spacing w:beforeLines="50"/>
        <w:rPr>
          <w:rFonts w:ascii="Arial" w:eastAsia="楷体_GB2312" w:hAnsi="Arial" w:cs="Times New Roman"/>
          <w:b/>
          <w:bCs/>
        </w:rPr>
      </w:pPr>
      <w:r w:rsidRPr="001631A9">
        <w:rPr>
          <w:rFonts w:ascii="Arial" w:eastAsia="楷体_GB2312" w:hAnsi="Arial" w:cs="Arial"/>
          <w:b/>
          <w:bCs/>
        </w:rPr>
        <w:t>EC=0.207</w:t>
      </w:r>
      <w:r w:rsidRPr="001631A9">
        <w:rPr>
          <w:rFonts w:ascii="Arial" w:eastAsia="楷体_GB2312" w:hAnsi="Arial" w:cs="楷体_GB2312" w:hint="eastAsia"/>
          <w:b/>
          <w:bCs/>
        </w:rPr>
        <w:t>·</w:t>
      </w:r>
      <w:r w:rsidRPr="001631A9">
        <w:rPr>
          <w:rFonts w:ascii="Arial" w:eastAsia="楷体_GB2312" w:hAnsi="Arial" w:cs="Arial"/>
          <w:b/>
          <w:bCs/>
        </w:rPr>
        <w:t>INP+0.081</w:t>
      </w:r>
      <w:r w:rsidRPr="001631A9">
        <w:rPr>
          <w:rFonts w:ascii="Arial" w:eastAsia="楷体_GB2312" w:hAnsi="Arial" w:cs="楷体_GB2312" w:hint="eastAsia"/>
          <w:b/>
          <w:bCs/>
        </w:rPr>
        <w:t>·</w:t>
      </w:r>
      <w:r w:rsidRPr="001631A9">
        <w:rPr>
          <w:rFonts w:ascii="Arial" w:eastAsia="楷体_GB2312" w:hAnsi="Arial" w:cs="Arial"/>
          <w:b/>
          <w:bCs/>
        </w:rPr>
        <w:t>GDP+0.046</w:t>
      </w:r>
      <w:r w:rsidRPr="001631A9">
        <w:rPr>
          <w:rFonts w:ascii="Arial" w:eastAsia="楷体_GB2312" w:hAnsi="Arial" w:cs="楷体_GB2312" w:hint="eastAsia"/>
          <w:b/>
          <w:bCs/>
        </w:rPr>
        <w:t>·</w:t>
      </w:r>
      <w:r w:rsidRPr="001631A9">
        <w:rPr>
          <w:rFonts w:ascii="Arial" w:eastAsia="楷体_GB2312" w:hAnsi="Arial" w:cs="Arial"/>
          <w:b/>
          <w:bCs/>
        </w:rPr>
        <w:t>IRNP</w:t>
      </w:r>
      <w:r w:rsidRPr="001631A9">
        <w:rPr>
          <w:rFonts w:ascii="Arial" w:eastAsia="楷体_GB2312" w:hAnsi="Arial" w:cs="楷体_GB2312" w:hint="eastAsia"/>
          <w:b/>
          <w:bCs/>
        </w:rPr>
        <w:t>（</w:t>
      </w:r>
      <w:r w:rsidRPr="001631A9">
        <w:rPr>
          <w:rFonts w:ascii="Arial" w:eastAsia="楷体_GB2312" w:hAnsi="Arial" w:cs="Arial"/>
          <w:b/>
          <w:bCs/>
        </w:rPr>
        <w:t>-2</w:t>
      </w:r>
      <w:r w:rsidRPr="001631A9">
        <w:rPr>
          <w:rFonts w:ascii="Arial" w:eastAsia="楷体_GB2312" w:hAnsi="Arial" w:cs="楷体_GB2312" w:hint="eastAsia"/>
          <w:b/>
          <w:bCs/>
        </w:rPr>
        <w:t>）</w:t>
      </w:r>
      <w:r w:rsidRPr="001631A9">
        <w:rPr>
          <w:rFonts w:ascii="Arial" w:eastAsia="楷体_GB2312" w:hAnsi="Arial" w:cs="Arial"/>
          <w:b/>
          <w:bCs/>
        </w:rPr>
        <w:t>+0.036</w:t>
      </w:r>
      <w:r w:rsidRPr="001631A9">
        <w:rPr>
          <w:rFonts w:ascii="Arial" w:eastAsia="楷体_GB2312" w:hAnsi="Arial" w:cs="楷体_GB2312" w:hint="eastAsia"/>
          <w:b/>
          <w:bCs/>
        </w:rPr>
        <w:t>·</w:t>
      </w:r>
      <w:r w:rsidRPr="001631A9">
        <w:rPr>
          <w:rFonts w:ascii="Arial" w:eastAsia="楷体_GB2312" w:hAnsi="Arial" w:cs="Arial"/>
          <w:b/>
          <w:bCs/>
        </w:rPr>
        <w:t>BR</w:t>
      </w:r>
      <w:r w:rsidRPr="001631A9">
        <w:rPr>
          <w:rFonts w:ascii="Arial" w:eastAsia="楷体_GB2312" w:hAnsi="Arial" w:cs="楷体_GB2312" w:hint="eastAsia"/>
          <w:b/>
          <w:bCs/>
        </w:rPr>
        <w:t>（</w:t>
      </w:r>
      <w:r w:rsidRPr="001631A9">
        <w:rPr>
          <w:rFonts w:ascii="Arial" w:eastAsia="楷体_GB2312" w:hAnsi="Arial" w:cs="Arial"/>
          <w:b/>
          <w:bCs/>
        </w:rPr>
        <w:t>-2</w:t>
      </w:r>
      <w:r w:rsidRPr="001631A9">
        <w:rPr>
          <w:rFonts w:ascii="Arial" w:eastAsia="楷体_GB2312" w:hAnsi="Arial" w:cs="楷体_GB2312" w:hint="eastAsia"/>
          <w:b/>
          <w:bCs/>
        </w:rPr>
        <w:t>）</w:t>
      </w:r>
      <w:r w:rsidRPr="001631A9">
        <w:rPr>
          <w:rFonts w:ascii="Arial" w:eastAsia="楷体_GB2312" w:hAnsi="Arial" w:cs="Arial"/>
          <w:b/>
          <w:bCs/>
        </w:rPr>
        <w:t>+0.0003</w:t>
      </w:r>
      <w:r w:rsidRPr="001631A9">
        <w:rPr>
          <w:rFonts w:ascii="Arial" w:eastAsia="楷体_GB2312" w:hAnsi="Arial" w:cs="楷体_GB2312" w:hint="eastAsia"/>
          <w:b/>
          <w:bCs/>
        </w:rPr>
        <w:t>·</w:t>
      </w:r>
      <w:r w:rsidRPr="001631A9">
        <w:rPr>
          <w:rFonts w:ascii="Arial" w:eastAsia="楷体_GB2312" w:hAnsi="Arial" w:cs="Arial"/>
          <w:b/>
          <w:bCs/>
        </w:rPr>
        <w:t>NP</w:t>
      </w:r>
      <w:r w:rsidRPr="001631A9">
        <w:rPr>
          <w:rFonts w:ascii="Arial" w:eastAsia="楷体_GB2312" w:hAnsi="Arial" w:cs="楷体_GB2312" w:hint="eastAsia"/>
          <w:b/>
          <w:bCs/>
        </w:rPr>
        <w:t>（</w:t>
      </w:r>
      <w:r w:rsidRPr="001631A9">
        <w:rPr>
          <w:rFonts w:ascii="Arial" w:eastAsia="楷体_GB2312" w:hAnsi="Arial" w:cs="Arial"/>
          <w:b/>
          <w:bCs/>
        </w:rPr>
        <w:t>-2</w:t>
      </w:r>
      <w:r w:rsidRPr="001631A9">
        <w:rPr>
          <w:rFonts w:ascii="Arial" w:eastAsia="楷体_GB2312" w:hAnsi="Arial" w:cs="楷体_GB2312" w:hint="eastAsia"/>
          <w:b/>
          <w:bCs/>
        </w:rPr>
        <w:t>）</w:t>
      </w:r>
    </w:p>
    <w:p w:rsidR="00DA0843" w:rsidRPr="008A665E" w:rsidRDefault="00DA0843" w:rsidP="00370B4F">
      <w:pPr>
        <w:spacing w:beforeLines="50"/>
        <w:ind w:firstLineChars="200" w:firstLine="31680"/>
        <w:rPr>
          <w:rFonts w:ascii="Arial" w:eastAsia="楷体_GB2312" w:hAnsi="Arial" w:cs="Times New Roman"/>
        </w:rPr>
      </w:pPr>
      <w:r w:rsidRPr="008A665E">
        <w:rPr>
          <w:rFonts w:ascii="Arial" w:eastAsia="楷体_GB2312" w:hAnsi="Arial" w:cs="楷体_GB2312" w:hint="eastAsia"/>
        </w:rPr>
        <w:t>其中，</w:t>
      </w:r>
      <w:r w:rsidRPr="008A665E">
        <w:rPr>
          <w:rFonts w:ascii="Arial" w:eastAsia="楷体_GB2312" w:hAnsi="Arial" w:cs="Arial"/>
        </w:rPr>
        <w:t>EC</w:t>
      </w:r>
      <w:r w:rsidRPr="008A665E">
        <w:rPr>
          <w:rFonts w:ascii="Arial" w:eastAsia="楷体_GB2312" w:hAnsi="Arial" w:cs="楷体_GB2312" w:hint="eastAsia"/>
        </w:rPr>
        <w:t>为即期的上市公司高管薪酬水平；</w:t>
      </w:r>
      <w:r w:rsidRPr="008A665E">
        <w:rPr>
          <w:rFonts w:ascii="Arial" w:eastAsia="楷体_GB2312" w:hAnsi="Arial" w:cs="Arial"/>
        </w:rPr>
        <w:t>INP</w:t>
      </w:r>
      <w:r w:rsidRPr="008A665E">
        <w:rPr>
          <w:rFonts w:ascii="Arial" w:eastAsia="楷体_GB2312" w:hAnsi="Arial" w:cs="楷体_GB2312" w:hint="eastAsia"/>
        </w:rPr>
        <w:t>是即期的行业净利润；</w:t>
      </w:r>
      <w:r w:rsidRPr="008A665E">
        <w:rPr>
          <w:rFonts w:ascii="Arial" w:eastAsia="楷体_GB2312" w:hAnsi="Arial" w:cs="Arial"/>
        </w:rPr>
        <w:t>GDP</w:t>
      </w:r>
      <w:r w:rsidRPr="008A665E">
        <w:rPr>
          <w:rFonts w:ascii="Arial" w:eastAsia="楷体_GB2312" w:hAnsi="Arial" w:cs="楷体_GB2312" w:hint="eastAsia"/>
        </w:rPr>
        <w:t>是即期的地区人均</w:t>
      </w:r>
      <w:r w:rsidRPr="008A665E">
        <w:rPr>
          <w:rFonts w:ascii="Arial" w:eastAsia="楷体_GB2312" w:hAnsi="Arial" w:cs="Arial"/>
        </w:rPr>
        <w:t>GDP</w:t>
      </w:r>
      <w:r w:rsidRPr="008A665E">
        <w:rPr>
          <w:rFonts w:ascii="Arial" w:eastAsia="楷体_GB2312" w:hAnsi="Arial" w:cs="楷体_GB2312" w:hint="eastAsia"/>
        </w:rPr>
        <w:t>；</w:t>
      </w:r>
      <w:r w:rsidRPr="008A665E">
        <w:rPr>
          <w:rFonts w:ascii="Arial" w:eastAsia="楷体_GB2312" w:hAnsi="Arial" w:cs="Arial"/>
        </w:rPr>
        <w:t>IRNP</w:t>
      </w:r>
      <w:r w:rsidRPr="008A665E">
        <w:rPr>
          <w:rFonts w:ascii="Arial" w:eastAsia="楷体_GB2312" w:hAnsi="Arial" w:cs="楷体_GB2312" w:hint="eastAsia"/>
        </w:rPr>
        <w:t>（</w:t>
      </w:r>
      <w:r w:rsidRPr="008A665E">
        <w:rPr>
          <w:rFonts w:ascii="Arial" w:eastAsia="楷体_GB2312" w:hAnsi="Arial" w:cs="Arial"/>
        </w:rPr>
        <w:t>-2</w:t>
      </w:r>
      <w:r w:rsidRPr="008A665E">
        <w:rPr>
          <w:rFonts w:ascii="Arial" w:eastAsia="楷体_GB2312" w:hAnsi="Arial" w:cs="楷体_GB2312" w:hint="eastAsia"/>
        </w:rPr>
        <w:t>）为滞后两期的公司净利润增长率；</w:t>
      </w:r>
      <w:r w:rsidRPr="008A665E">
        <w:rPr>
          <w:rFonts w:ascii="Arial" w:eastAsia="楷体_GB2312" w:hAnsi="Arial" w:cs="Arial"/>
        </w:rPr>
        <w:t>BR</w:t>
      </w:r>
      <w:r w:rsidRPr="008A665E">
        <w:rPr>
          <w:rFonts w:ascii="Arial" w:eastAsia="楷体_GB2312" w:hAnsi="Arial" w:cs="楷体_GB2312" w:hint="eastAsia"/>
        </w:rPr>
        <w:t>（</w:t>
      </w:r>
      <w:r w:rsidRPr="008A665E">
        <w:rPr>
          <w:rFonts w:ascii="Arial" w:eastAsia="楷体_GB2312" w:hAnsi="Arial" w:cs="Arial"/>
        </w:rPr>
        <w:t>-2</w:t>
      </w:r>
      <w:r w:rsidRPr="008A665E">
        <w:rPr>
          <w:rFonts w:ascii="Arial" w:eastAsia="楷体_GB2312" w:hAnsi="Arial" w:cs="楷体_GB2312" w:hint="eastAsia"/>
        </w:rPr>
        <w:t>）为滞后两期的公司营业收入；</w:t>
      </w:r>
      <w:r w:rsidRPr="008A665E">
        <w:rPr>
          <w:rFonts w:ascii="Arial" w:eastAsia="楷体_GB2312" w:hAnsi="Arial" w:cs="Arial"/>
        </w:rPr>
        <w:t>NP</w:t>
      </w:r>
      <w:r w:rsidRPr="008A665E">
        <w:rPr>
          <w:rFonts w:ascii="Arial" w:eastAsia="楷体_GB2312" w:hAnsi="Arial" w:cs="楷体_GB2312" w:hint="eastAsia"/>
        </w:rPr>
        <w:t>（</w:t>
      </w:r>
      <w:r w:rsidRPr="008A665E">
        <w:rPr>
          <w:rFonts w:ascii="Arial" w:eastAsia="楷体_GB2312" w:hAnsi="Arial" w:cs="Arial"/>
        </w:rPr>
        <w:t>-2</w:t>
      </w:r>
      <w:r w:rsidRPr="008A665E">
        <w:rPr>
          <w:rFonts w:ascii="Arial" w:eastAsia="楷体_GB2312" w:hAnsi="Arial" w:cs="楷体_GB2312" w:hint="eastAsia"/>
        </w:rPr>
        <w:t>）为滞后两期的公司净利润。</w:t>
      </w:r>
    </w:p>
    <w:p w:rsidR="00DA0843" w:rsidRDefault="00DA0843" w:rsidP="00370B4F">
      <w:pPr>
        <w:spacing w:beforeLines="50"/>
        <w:ind w:firstLineChars="200" w:firstLine="31680"/>
        <w:rPr>
          <w:rFonts w:ascii="Arial" w:eastAsia="楷体_GB2312" w:hAnsi="Arial" w:cs="Times New Roman"/>
        </w:rPr>
      </w:pPr>
      <w:r>
        <w:rPr>
          <w:rFonts w:ascii="Arial" w:eastAsia="楷体_GB2312" w:hAnsi="Arial" w:cs="楷体_GB2312" w:hint="eastAsia"/>
        </w:rPr>
        <w:t>联合咨询中心</w:t>
      </w:r>
      <w:r w:rsidRPr="008A665E">
        <w:rPr>
          <w:rFonts w:ascii="Arial" w:eastAsia="楷体_GB2312" w:hAnsi="Arial" w:cs="楷体_GB2312" w:hint="eastAsia"/>
        </w:rPr>
        <w:t>中国上市公司高管薪酬水平市场标杆模型准确的反映了当前高管薪酬的定价机制，应用市场标杆模型</w:t>
      </w:r>
      <w:r>
        <w:rPr>
          <w:rFonts w:ascii="Arial" w:eastAsia="楷体_GB2312" w:hAnsi="Arial" w:cs="楷体_GB2312" w:hint="eastAsia"/>
        </w:rPr>
        <w:t>一方面能</w:t>
      </w:r>
      <w:r w:rsidRPr="008A665E">
        <w:rPr>
          <w:rFonts w:ascii="Arial" w:eastAsia="楷体_GB2312" w:hAnsi="Arial" w:cs="楷体_GB2312" w:hint="eastAsia"/>
        </w:rPr>
        <w:t>帮助企业衡量高管薪酬水平与市场的差异，明了高管薪酬水平如何来确定。</w:t>
      </w:r>
      <w:r>
        <w:rPr>
          <w:rFonts w:ascii="Arial" w:eastAsia="楷体_GB2312" w:hAnsi="Arial" w:cs="楷体_GB2312" w:hint="eastAsia"/>
        </w:rPr>
        <w:t>另一方面，又能</w:t>
      </w:r>
      <w:r w:rsidRPr="008A665E">
        <w:rPr>
          <w:rFonts w:ascii="Arial" w:eastAsia="楷体_GB2312" w:hAnsi="Arial" w:cs="楷体_GB2312" w:hint="eastAsia"/>
        </w:rPr>
        <w:t>帮助企业预测未来薪酬水平，为上市公司制定薪酬策略提供参考。</w:t>
      </w:r>
    </w:p>
    <w:p w:rsidR="00DA0843" w:rsidRPr="002D0A8F" w:rsidRDefault="00DA0843" w:rsidP="00CD4E43">
      <w:pPr>
        <w:spacing w:beforeLines="50"/>
        <w:ind w:firstLineChars="200" w:firstLine="31680"/>
        <w:rPr>
          <w:rFonts w:ascii="Arial" w:eastAsia="楷体_GB2312" w:hAnsi="Arial" w:cs="Times New Roman"/>
        </w:rPr>
      </w:pPr>
      <w:r w:rsidRPr="002D0A8F">
        <w:rPr>
          <w:rFonts w:ascii="Arial" w:eastAsia="楷体_GB2312" w:hAnsi="Arial" w:cs="楷体_GB2312" w:hint="eastAsia"/>
        </w:rPr>
        <w:t>为了衡量中国上市公司高管薪酬激励程度，比较各上市公司高管薪酬与市场水平之间的关系，</w:t>
      </w:r>
      <w:r>
        <w:rPr>
          <w:rFonts w:ascii="Arial" w:eastAsia="楷体_GB2312" w:hAnsi="Arial" w:cs="楷体_GB2312" w:hint="eastAsia"/>
        </w:rPr>
        <w:t>联合咨询中心</w:t>
      </w:r>
      <w:r w:rsidRPr="002D0A8F">
        <w:rPr>
          <w:rFonts w:ascii="Arial" w:eastAsia="楷体_GB2312" w:hAnsi="Arial" w:cs="楷体_GB2312" w:hint="eastAsia"/>
        </w:rPr>
        <w:t>采用高管薪酬激励程度值（</w:t>
      </w:r>
      <w:r w:rsidRPr="002D0A8F">
        <w:rPr>
          <w:rFonts w:ascii="Arial" w:eastAsia="楷体_GB2312" w:hAnsi="Arial" w:cs="Arial"/>
        </w:rPr>
        <w:t>ζ</w:t>
      </w:r>
      <w:r w:rsidRPr="002D0A8F">
        <w:rPr>
          <w:rFonts w:ascii="Arial" w:eastAsia="楷体_GB2312" w:hAnsi="Arial" w:cs="楷体_GB2312" w:hint="eastAsia"/>
        </w:rPr>
        <w:t>）作为评价依据。</w:t>
      </w:r>
    </w:p>
    <w:p w:rsidR="00DA0843" w:rsidRPr="00844342" w:rsidRDefault="00DA0843" w:rsidP="00370B4F">
      <w:pPr>
        <w:spacing w:beforeLines="50" w:line="300" w:lineRule="auto"/>
        <w:ind w:firstLineChars="200" w:firstLine="31680"/>
        <w:rPr>
          <w:rFonts w:ascii="Arial" w:eastAsia="楷体_GB2312" w:hAnsi="Arial" w:cs="Times New Roman"/>
          <w:color w:val="FF0000"/>
          <w:sz w:val="24"/>
          <w:szCs w:val="24"/>
        </w:rPr>
      </w:pPr>
      <w:r>
        <w:rPr>
          <w:noProof/>
        </w:rPr>
        <w:pict>
          <v:shapetype id="_x0000_t202" coordsize="21600,21600" o:spt="202" path="m,l,21600r21600,l21600,xe">
            <v:stroke joinstyle="miter"/>
            <v:path gradientshapeok="t" o:connecttype="rect"/>
          </v:shapetype>
          <v:shape id="Text Box 14" o:spid="_x0000_s1026" type="#_x0000_t202" style="position:absolute;left:0;text-align:left;margin-left:198pt;margin-top:42.4pt;width:99pt;height:23.4pt;z-index:251657728;visibility:visible" stroked="f">
            <v:textbox>
              <w:txbxContent>
                <w:p w:rsidR="00DA0843" w:rsidRPr="004D717C" w:rsidRDefault="00DA0843" w:rsidP="006C1299">
                  <w:pPr>
                    <w:rPr>
                      <w:rFonts w:ascii="楷体_GB2312" w:eastAsia="楷体_GB2312" w:cs="Times New Roman"/>
                    </w:rPr>
                  </w:pPr>
                  <w:r w:rsidRPr="004D717C">
                    <w:rPr>
                      <w:rFonts w:ascii="楷体_GB2312" w:eastAsia="楷体_GB2312" w:cs="楷体_GB2312" w:hint="eastAsia"/>
                    </w:rPr>
                    <w:t>激励</w:t>
                  </w:r>
                  <w:r>
                    <w:rPr>
                      <w:rFonts w:ascii="楷体_GB2312" w:eastAsia="楷体_GB2312" w:cs="楷体_GB2312" w:hint="eastAsia"/>
                    </w:rPr>
                    <w:t>适中</w:t>
                  </w:r>
                </w:p>
              </w:txbxContent>
            </v:textbox>
          </v:shape>
        </w:pict>
      </w:r>
      <w:r>
        <w:rPr>
          <w:noProof/>
        </w:rPr>
        <w:pict>
          <v:shape id="Text Box 15" o:spid="_x0000_s1027" type="#_x0000_t202" style="position:absolute;left:0;text-align:left;margin-left:198pt;margin-top:78pt;width:99pt;height:23.4pt;z-index:251658752;visibility:visible" stroked="f">
            <v:textbox>
              <w:txbxContent>
                <w:p w:rsidR="00DA0843" w:rsidRPr="004D717C" w:rsidRDefault="00DA0843" w:rsidP="006C1299">
                  <w:pPr>
                    <w:rPr>
                      <w:rFonts w:ascii="楷体_GB2312" w:eastAsia="楷体_GB2312" w:cs="Times New Roman"/>
                    </w:rPr>
                  </w:pPr>
                  <w:r w:rsidRPr="004D717C">
                    <w:rPr>
                      <w:rFonts w:ascii="楷体_GB2312" w:eastAsia="楷体_GB2312" w:cs="楷体_GB2312" w:hint="eastAsia"/>
                    </w:rPr>
                    <w:t>激励</w:t>
                  </w:r>
                  <w:r>
                    <w:rPr>
                      <w:rFonts w:ascii="楷体_GB2312" w:eastAsia="楷体_GB2312" w:cs="楷体_GB2312" w:hint="eastAsia"/>
                    </w:rPr>
                    <w:t>较强</w:t>
                  </w:r>
                </w:p>
              </w:txbxContent>
            </v:textbox>
          </v:shape>
        </w:pict>
      </w:r>
      <w:r>
        <w:rPr>
          <w:noProof/>
        </w:rPr>
        <w:pict>
          <v:shape id="Text Box 13" o:spid="_x0000_s1028" type="#_x0000_t202" style="position:absolute;left:0;text-align:left;margin-left:198pt;margin-top:6.8pt;width:99pt;height:23.4pt;z-index:251656704;visibility:visible" stroked="f">
            <v:textbox>
              <w:txbxContent>
                <w:p w:rsidR="00DA0843" w:rsidRPr="004D717C" w:rsidRDefault="00DA0843" w:rsidP="006C1299">
                  <w:pPr>
                    <w:rPr>
                      <w:rFonts w:ascii="楷体_GB2312" w:eastAsia="楷体_GB2312" w:cs="Times New Roman"/>
                    </w:rPr>
                  </w:pPr>
                  <w:r>
                    <w:rPr>
                      <w:rFonts w:ascii="楷体_GB2312" w:eastAsia="楷体_GB2312" w:cs="楷体_GB2312" w:hint="eastAsia"/>
                    </w:rPr>
                    <w:t>激励不足</w:t>
                  </w:r>
                </w:p>
              </w:txbxContent>
            </v:textbox>
          </v:shape>
        </w:pict>
      </w:r>
      <w:r w:rsidRPr="00844342">
        <w:rPr>
          <w:rFonts w:ascii="Arial" w:eastAsia="楷体_GB2312" w:hAnsi="Arial" w:cs="Times New Roman"/>
          <w:color w:val="FF0000"/>
          <w:position w:val="-86"/>
          <w:sz w:val="24"/>
          <w:szCs w:val="24"/>
        </w:rPr>
        <w:object w:dxaOrig="3060" w:dyaOrig="1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92.25pt" o:ole="">
            <v:imagedata r:id="rId7" o:title=""/>
          </v:shape>
          <o:OLEObject Type="Embed" ProgID="Msxml2.SAXXMLReader.5.0" ShapeID="_x0000_i1025" DrawAspect="Content" ObjectID="_1458993351" r:id="rId8"/>
        </w:object>
      </w:r>
    </w:p>
    <w:p w:rsidR="00DA0843" w:rsidRPr="00E75954" w:rsidRDefault="00DA0843" w:rsidP="008D4B5F">
      <w:pPr>
        <w:spacing w:beforeLines="50"/>
        <w:outlineLvl w:val="1"/>
        <w:rPr>
          <w:rFonts w:ascii="Arial" w:eastAsia="楷体_GB2312" w:hAnsi="Arial" w:cs="Times New Roman"/>
          <w:b/>
          <w:bCs/>
          <w:sz w:val="22"/>
          <w:szCs w:val="22"/>
        </w:rPr>
      </w:pPr>
      <w:r>
        <w:rPr>
          <w:rFonts w:ascii="Arial" w:eastAsia="楷体_GB2312" w:hAnsi="Arial" w:cs="楷体_GB2312" w:hint="eastAsia"/>
          <w:b/>
          <w:bCs/>
          <w:sz w:val="22"/>
          <w:szCs w:val="22"/>
        </w:rPr>
        <w:t>整体激励程度：与全国水平相比，江苏</w:t>
      </w:r>
      <w:r w:rsidRPr="00E75954">
        <w:rPr>
          <w:rFonts w:ascii="Arial" w:eastAsia="楷体_GB2312" w:hAnsi="Arial" w:cs="楷体_GB2312" w:hint="eastAsia"/>
          <w:b/>
          <w:bCs/>
          <w:sz w:val="22"/>
          <w:szCs w:val="22"/>
        </w:rPr>
        <w:t>上市公司高管薪酬激励程度整体较低</w:t>
      </w:r>
    </w:p>
    <w:p w:rsidR="00DA0843" w:rsidRPr="0092112E" w:rsidRDefault="00DA0843" w:rsidP="00370B4F">
      <w:pPr>
        <w:spacing w:beforeLines="50"/>
        <w:ind w:firstLineChars="200" w:firstLine="31680"/>
        <w:rPr>
          <w:rFonts w:ascii="Arial" w:eastAsia="楷体_GB2312" w:hAnsi="Arial" w:cs="Times New Roman"/>
        </w:rPr>
      </w:pPr>
      <w:r w:rsidRPr="00F2016E">
        <w:rPr>
          <w:rFonts w:ascii="Arial" w:eastAsia="楷体_GB2312" w:hAnsi="Arial" w:cs="楷体_GB2312" w:hint="eastAsia"/>
        </w:rPr>
        <w:t>根据</w:t>
      </w:r>
      <w:r>
        <w:rPr>
          <w:rFonts w:ascii="Arial" w:eastAsia="楷体_GB2312" w:hAnsi="Arial" w:cs="楷体_GB2312" w:hint="eastAsia"/>
        </w:rPr>
        <w:t>联合咨询中心</w:t>
      </w:r>
      <w:r w:rsidRPr="00F2016E">
        <w:rPr>
          <w:rFonts w:ascii="Arial" w:eastAsia="楷体_GB2312" w:hAnsi="Arial" w:cs="楷体_GB2312" w:hint="eastAsia"/>
        </w:rPr>
        <w:t>中国上市公司高管薪酬市场标杆模型和激励程度评价标准，</w:t>
      </w:r>
      <w:r w:rsidRPr="00F2016E">
        <w:rPr>
          <w:rFonts w:ascii="Arial" w:eastAsia="楷体_GB2312" w:hAnsi="Arial" w:cs="Arial"/>
        </w:rPr>
        <w:t>201</w:t>
      </w:r>
      <w:r>
        <w:rPr>
          <w:rFonts w:ascii="Arial" w:eastAsia="楷体_GB2312" w:hAnsi="Arial" w:cs="Arial"/>
        </w:rPr>
        <w:t>2</w:t>
      </w:r>
      <w:r w:rsidRPr="00F2016E">
        <w:rPr>
          <w:rFonts w:ascii="Arial" w:eastAsia="楷体_GB2312" w:hAnsi="Arial" w:cs="楷体_GB2312" w:hint="eastAsia"/>
        </w:rPr>
        <w:t>年</w:t>
      </w:r>
      <w:r>
        <w:rPr>
          <w:rFonts w:ascii="Arial" w:eastAsia="楷体_GB2312" w:hAnsi="Arial" w:cs="楷体_GB2312" w:hint="eastAsia"/>
        </w:rPr>
        <w:t>沪深两市上市公司</w:t>
      </w:r>
      <w:r w:rsidRPr="00F2016E">
        <w:rPr>
          <w:rFonts w:ascii="Arial" w:eastAsia="楷体_GB2312" w:hAnsi="Arial" w:cs="楷体_GB2312" w:hint="eastAsia"/>
        </w:rPr>
        <w:t>高管薪酬激励程度全国均值为</w:t>
      </w:r>
      <w:r>
        <w:rPr>
          <w:rFonts w:ascii="Arial" w:eastAsia="楷体_GB2312" w:hAnsi="Arial" w:cs="Arial"/>
        </w:rPr>
        <w:t>1.00</w:t>
      </w:r>
      <w:r w:rsidRPr="00F2016E">
        <w:rPr>
          <w:rFonts w:ascii="Arial" w:eastAsia="楷体_GB2312" w:hAnsi="Arial" w:cs="楷体_GB2312" w:hint="eastAsia"/>
        </w:rPr>
        <w:t>，</w:t>
      </w:r>
      <w:r w:rsidRPr="0092112E">
        <w:rPr>
          <w:rFonts w:ascii="Arial" w:eastAsia="楷体_GB2312" w:hAnsi="Arial" w:cs="楷体_GB2312" w:hint="eastAsia"/>
        </w:rPr>
        <w:t>江苏省均值仅为</w:t>
      </w:r>
      <w:r>
        <w:rPr>
          <w:rFonts w:ascii="Arial" w:eastAsia="楷体_GB2312" w:hAnsi="Arial" w:cs="Arial"/>
        </w:rPr>
        <w:t>0.80</w:t>
      </w:r>
      <w:r w:rsidRPr="0092112E">
        <w:rPr>
          <w:rFonts w:ascii="Arial" w:eastAsia="楷体_GB2312" w:hAnsi="Arial" w:cs="楷体_GB2312" w:hint="eastAsia"/>
        </w:rPr>
        <w:t>，</w:t>
      </w:r>
      <w:r>
        <w:rPr>
          <w:rFonts w:ascii="Arial" w:eastAsia="楷体_GB2312" w:hAnsi="Arial" w:cs="楷体_GB2312" w:hint="eastAsia"/>
        </w:rPr>
        <w:t>较</w:t>
      </w:r>
      <w:r>
        <w:rPr>
          <w:rFonts w:ascii="Arial" w:eastAsia="楷体_GB2312" w:hAnsi="Arial" w:cs="Arial"/>
        </w:rPr>
        <w:t>2011</w:t>
      </w:r>
      <w:r>
        <w:rPr>
          <w:rFonts w:ascii="Arial" w:eastAsia="楷体_GB2312" w:hAnsi="Arial" w:cs="楷体_GB2312" w:hint="eastAsia"/>
        </w:rPr>
        <w:t>年的</w:t>
      </w:r>
      <w:r>
        <w:rPr>
          <w:rFonts w:ascii="Arial" w:eastAsia="楷体_GB2312" w:hAnsi="Arial" w:cs="Arial"/>
        </w:rPr>
        <w:t>0.82</w:t>
      </w:r>
      <w:r>
        <w:rPr>
          <w:rFonts w:ascii="Arial" w:eastAsia="楷体_GB2312" w:hAnsi="Arial" w:cs="楷体_GB2312" w:hint="eastAsia"/>
        </w:rPr>
        <w:t>有所下降，与</w:t>
      </w:r>
      <w:r w:rsidRPr="0092112E">
        <w:rPr>
          <w:rFonts w:ascii="Arial" w:eastAsia="楷体_GB2312" w:hAnsi="Arial" w:cs="楷体_GB2312" w:hint="eastAsia"/>
        </w:rPr>
        <w:t>全国高管激励程度均值</w:t>
      </w:r>
      <w:r>
        <w:rPr>
          <w:rFonts w:ascii="Arial" w:eastAsia="楷体_GB2312" w:hAnsi="Arial" w:cs="楷体_GB2312" w:hint="eastAsia"/>
        </w:rPr>
        <w:t>相比</w:t>
      </w:r>
      <w:r w:rsidRPr="0092112E">
        <w:rPr>
          <w:rFonts w:ascii="Arial" w:eastAsia="楷体_GB2312" w:hAnsi="Arial" w:cs="楷体_GB2312" w:hint="eastAsia"/>
        </w:rPr>
        <w:t>低</w:t>
      </w:r>
      <w:r>
        <w:rPr>
          <w:rFonts w:ascii="Arial" w:eastAsia="楷体_GB2312" w:hAnsi="Arial" w:cs="楷体_GB2312" w:hint="eastAsia"/>
        </w:rPr>
        <w:t>了</w:t>
      </w:r>
      <w:r>
        <w:rPr>
          <w:rFonts w:ascii="Arial" w:eastAsia="楷体_GB2312" w:hAnsi="Arial" w:cs="Arial"/>
        </w:rPr>
        <w:t>20</w:t>
      </w:r>
      <w:r w:rsidRPr="0092112E">
        <w:rPr>
          <w:rFonts w:ascii="Arial" w:eastAsia="楷体_GB2312" w:hAnsi="Arial" w:cs="楷体_GB2312" w:hint="eastAsia"/>
        </w:rPr>
        <w:t>个百分点。</w:t>
      </w:r>
    </w:p>
    <w:p w:rsidR="00DA0843" w:rsidRDefault="00DA0843" w:rsidP="00CD4E43">
      <w:pPr>
        <w:spacing w:beforeLines="50"/>
        <w:ind w:firstLineChars="200" w:firstLine="31680"/>
        <w:rPr>
          <w:rFonts w:ascii="Arial" w:eastAsia="楷体_GB2312" w:hAnsi="Arial" w:cs="Times New Roman"/>
        </w:rPr>
      </w:pPr>
      <w:r w:rsidRPr="00807FF9">
        <w:rPr>
          <w:rFonts w:ascii="Arial" w:eastAsia="楷体_GB2312" w:hAnsi="Arial" w:cs="楷体_GB2312" w:hint="eastAsia"/>
        </w:rPr>
        <w:t>从各区间分布来看，</w:t>
      </w:r>
      <w:r w:rsidRPr="00807FF9">
        <w:rPr>
          <w:rFonts w:ascii="Arial" w:eastAsia="楷体_GB2312" w:hAnsi="Arial" w:cs="Arial"/>
        </w:rPr>
        <w:t>201</w:t>
      </w:r>
      <w:r>
        <w:rPr>
          <w:rFonts w:ascii="Arial" w:eastAsia="楷体_GB2312" w:hAnsi="Arial" w:cs="Arial"/>
        </w:rPr>
        <w:t>2</w:t>
      </w:r>
      <w:r w:rsidRPr="00807FF9">
        <w:rPr>
          <w:rFonts w:ascii="Arial" w:eastAsia="楷体_GB2312" w:hAnsi="Arial" w:cs="楷体_GB2312" w:hint="eastAsia"/>
        </w:rPr>
        <w:t>年江苏省共有</w:t>
      </w:r>
      <w:r>
        <w:rPr>
          <w:rFonts w:ascii="Arial" w:eastAsia="楷体_GB2312" w:hAnsi="Arial" w:cs="Arial"/>
        </w:rPr>
        <w:t>94</w:t>
      </w:r>
      <w:r w:rsidRPr="00807FF9">
        <w:rPr>
          <w:rFonts w:ascii="Arial" w:eastAsia="楷体_GB2312" w:hAnsi="Arial" w:cs="楷体_GB2312" w:hint="eastAsia"/>
        </w:rPr>
        <w:t>家上市公司高管薪酬激励程度值小于</w:t>
      </w:r>
      <w:r w:rsidRPr="00807FF9">
        <w:rPr>
          <w:rFonts w:ascii="Arial" w:eastAsia="楷体_GB2312" w:hAnsi="Arial" w:cs="Arial"/>
        </w:rPr>
        <w:t>1</w:t>
      </w:r>
      <w:r w:rsidRPr="00807FF9">
        <w:rPr>
          <w:rFonts w:ascii="Arial" w:eastAsia="楷体_GB2312" w:hAnsi="Arial" w:cs="楷体_GB2312" w:hint="eastAsia"/>
        </w:rPr>
        <w:t>，占</w:t>
      </w:r>
      <w:r w:rsidRPr="00807FF9">
        <w:rPr>
          <w:rFonts w:ascii="Arial" w:eastAsia="楷体_GB2312" w:hAnsi="Arial" w:cs="Arial"/>
        </w:rPr>
        <w:t>4</w:t>
      </w:r>
      <w:r>
        <w:rPr>
          <w:rFonts w:ascii="Arial" w:eastAsia="楷体_GB2312" w:hAnsi="Arial" w:cs="Arial"/>
        </w:rPr>
        <w:t>0.52</w:t>
      </w:r>
      <w:r w:rsidRPr="00807FF9">
        <w:rPr>
          <w:rFonts w:ascii="Arial" w:eastAsia="楷体_GB2312" w:hAnsi="Arial" w:cs="Arial"/>
        </w:rPr>
        <w:t>%</w:t>
      </w:r>
      <w:r w:rsidRPr="00807FF9">
        <w:rPr>
          <w:rFonts w:ascii="Arial" w:eastAsia="楷体_GB2312" w:hAnsi="Arial" w:cs="楷体_GB2312" w:hint="eastAsia"/>
        </w:rPr>
        <w:t>。其中，低于市场标杆值</w:t>
      </w:r>
      <w:r w:rsidRPr="00807FF9">
        <w:rPr>
          <w:rFonts w:ascii="Arial" w:eastAsia="楷体_GB2312" w:hAnsi="Arial" w:cs="Arial"/>
        </w:rPr>
        <w:t>1/2</w:t>
      </w:r>
      <w:r w:rsidRPr="00807FF9">
        <w:rPr>
          <w:rFonts w:ascii="Arial" w:eastAsia="楷体_GB2312" w:hAnsi="Arial" w:cs="楷体_GB2312" w:hint="eastAsia"/>
        </w:rPr>
        <w:t>的有</w:t>
      </w:r>
      <w:r w:rsidRPr="00807FF9">
        <w:rPr>
          <w:rFonts w:ascii="Arial" w:eastAsia="楷体_GB2312" w:hAnsi="Arial" w:cs="Arial"/>
        </w:rPr>
        <w:t>3</w:t>
      </w:r>
      <w:r>
        <w:rPr>
          <w:rFonts w:ascii="Arial" w:eastAsia="楷体_GB2312" w:hAnsi="Arial" w:cs="Arial"/>
        </w:rPr>
        <w:t>8</w:t>
      </w:r>
      <w:r w:rsidRPr="00807FF9">
        <w:rPr>
          <w:rFonts w:ascii="Arial" w:eastAsia="楷体_GB2312" w:hAnsi="Arial" w:cs="楷体_GB2312" w:hint="eastAsia"/>
        </w:rPr>
        <w:t>家，占</w:t>
      </w:r>
      <w:r w:rsidRPr="00807FF9">
        <w:rPr>
          <w:rFonts w:ascii="Arial" w:eastAsia="楷体_GB2312" w:hAnsi="Arial" w:cs="Arial"/>
        </w:rPr>
        <w:t>1</w:t>
      </w:r>
      <w:r>
        <w:rPr>
          <w:rFonts w:ascii="Arial" w:eastAsia="楷体_GB2312" w:hAnsi="Arial" w:cs="Arial"/>
        </w:rPr>
        <w:t>6.38</w:t>
      </w:r>
      <w:r w:rsidRPr="00807FF9">
        <w:rPr>
          <w:rFonts w:ascii="Arial" w:eastAsia="楷体_GB2312" w:hAnsi="Arial" w:cs="Arial"/>
        </w:rPr>
        <w:t>%</w:t>
      </w:r>
      <w:r w:rsidRPr="00807FF9">
        <w:rPr>
          <w:rFonts w:ascii="Arial" w:eastAsia="楷体_GB2312" w:hAnsi="Arial" w:cs="楷体_GB2312" w:hint="eastAsia"/>
        </w:rPr>
        <w:t>；低于市场标杆值</w:t>
      </w:r>
      <w:r w:rsidRPr="00807FF9">
        <w:rPr>
          <w:rFonts w:ascii="Arial" w:eastAsia="楷体_GB2312" w:hAnsi="Arial" w:cs="Arial"/>
        </w:rPr>
        <w:t>1/3</w:t>
      </w:r>
      <w:r w:rsidRPr="00807FF9">
        <w:rPr>
          <w:rFonts w:ascii="Arial" w:eastAsia="楷体_GB2312" w:hAnsi="Arial" w:cs="楷体_GB2312" w:hint="eastAsia"/>
        </w:rPr>
        <w:t>的有</w:t>
      </w:r>
      <w:r w:rsidRPr="00807FF9">
        <w:rPr>
          <w:rFonts w:ascii="Arial" w:eastAsia="楷体_GB2312" w:hAnsi="Arial" w:cs="Arial"/>
        </w:rPr>
        <w:t>1</w:t>
      </w:r>
      <w:r>
        <w:rPr>
          <w:rFonts w:ascii="Arial" w:eastAsia="楷体_GB2312" w:hAnsi="Arial" w:cs="Arial"/>
        </w:rPr>
        <w:t>5</w:t>
      </w:r>
      <w:r w:rsidRPr="00807FF9">
        <w:rPr>
          <w:rFonts w:ascii="Arial" w:eastAsia="楷体_GB2312" w:hAnsi="Arial" w:cs="楷体_GB2312" w:hint="eastAsia"/>
        </w:rPr>
        <w:t>家，占</w:t>
      </w:r>
      <w:r>
        <w:rPr>
          <w:rFonts w:ascii="Arial" w:eastAsia="楷体_GB2312" w:hAnsi="Arial" w:cs="Arial"/>
        </w:rPr>
        <w:t>6.47</w:t>
      </w:r>
      <w:r w:rsidRPr="00807FF9">
        <w:rPr>
          <w:rFonts w:ascii="Arial" w:eastAsia="楷体_GB2312" w:hAnsi="Arial" w:cs="Arial"/>
        </w:rPr>
        <w:t>%</w:t>
      </w:r>
      <w:r w:rsidRPr="00807FF9">
        <w:rPr>
          <w:rFonts w:ascii="Arial" w:eastAsia="楷体_GB2312" w:hAnsi="Arial" w:cs="楷体_GB2312" w:hint="eastAsia"/>
        </w:rPr>
        <w:t>；低于市场标杆值</w:t>
      </w:r>
      <w:r w:rsidRPr="00807FF9">
        <w:rPr>
          <w:rFonts w:ascii="Arial" w:eastAsia="楷体_GB2312" w:hAnsi="Arial" w:cs="Arial"/>
        </w:rPr>
        <w:t>1/5</w:t>
      </w:r>
      <w:r w:rsidRPr="00807FF9">
        <w:rPr>
          <w:rFonts w:ascii="Arial" w:eastAsia="楷体_GB2312" w:hAnsi="Arial" w:cs="楷体_GB2312" w:hint="eastAsia"/>
        </w:rPr>
        <w:t>的有</w:t>
      </w:r>
      <w:r w:rsidRPr="00807FF9">
        <w:rPr>
          <w:rFonts w:ascii="Arial" w:eastAsia="楷体_GB2312" w:hAnsi="Arial" w:cs="Arial"/>
        </w:rPr>
        <w:t>5</w:t>
      </w:r>
      <w:r w:rsidRPr="00807FF9">
        <w:rPr>
          <w:rFonts w:ascii="Arial" w:eastAsia="楷体_GB2312" w:hAnsi="Arial" w:cs="楷体_GB2312" w:hint="eastAsia"/>
        </w:rPr>
        <w:t>家，占</w:t>
      </w:r>
      <w:r w:rsidRPr="00807FF9">
        <w:rPr>
          <w:rFonts w:ascii="Arial" w:eastAsia="楷体_GB2312" w:hAnsi="Arial" w:cs="Arial"/>
        </w:rPr>
        <w:t>2.</w:t>
      </w:r>
      <w:r>
        <w:rPr>
          <w:rFonts w:ascii="Arial" w:eastAsia="楷体_GB2312" w:hAnsi="Arial" w:cs="Arial"/>
        </w:rPr>
        <w:t>16</w:t>
      </w:r>
      <w:r w:rsidRPr="00807FF9">
        <w:rPr>
          <w:rFonts w:ascii="Arial" w:eastAsia="楷体_GB2312" w:hAnsi="Arial" w:cs="Arial"/>
        </w:rPr>
        <w:t>%</w:t>
      </w:r>
      <w:r w:rsidRPr="00807FF9">
        <w:rPr>
          <w:rFonts w:ascii="Arial" w:eastAsia="楷体_GB2312" w:hAnsi="Arial" w:cs="楷体_GB2312" w:hint="eastAsia"/>
        </w:rPr>
        <w:t>。</w:t>
      </w:r>
    </w:p>
    <w:p w:rsidR="00DA0843" w:rsidRDefault="00DA0843" w:rsidP="00370B4F">
      <w:pPr>
        <w:spacing w:beforeLines="50"/>
        <w:ind w:firstLineChars="200" w:firstLine="31680"/>
        <w:rPr>
          <w:rFonts w:ascii="Arial" w:eastAsia="楷体_GB2312" w:hAnsi="Arial" w:cs="Times New Roman"/>
        </w:rPr>
      </w:pPr>
      <w:r w:rsidRPr="00807FF9">
        <w:rPr>
          <w:rFonts w:ascii="Arial" w:eastAsia="楷体_GB2312" w:hAnsi="Arial" w:cs="楷体_GB2312" w:hint="eastAsia"/>
        </w:rPr>
        <w:t>而激励程度值高于</w:t>
      </w:r>
      <w:r w:rsidRPr="00807FF9">
        <w:rPr>
          <w:rFonts w:ascii="Arial" w:eastAsia="楷体_GB2312" w:hAnsi="Arial" w:cs="Arial"/>
        </w:rPr>
        <w:t>1</w:t>
      </w:r>
      <w:r>
        <w:rPr>
          <w:rFonts w:ascii="Arial" w:eastAsia="楷体_GB2312" w:hAnsi="Arial" w:cs="楷体_GB2312" w:hint="eastAsia"/>
        </w:rPr>
        <w:t>的</w:t>
      </w:r>
      <w:r w:rsidRPr="00807FF9">
        <w:rPr>
          <w:rFonts w:ascii="Arial" w:eastAsia="楷体_GB2312" w:hAnsi="Arial" w:cs="楷体_GB2312" w:hint="eastAsia"/>
        </w:rPr>
        <w:t>有</w:t>
      </w:r>
      <w:r w:rsidRPr="00807FF9">
        <w:rPr>
          <w:rFonts w:ascii="Arial" w:eastAsia="楷体_GB2312" w:hAnsi="Arial" w:cs="Arial"/>
        </w:rPr>
        <w:t>2</w:t>
      </w:r>
      <w:r>
        <w:rPr>
          <w:rFonts w:ascii="Arial" w:eastAsia="楷体_GB2312" w:hAnsi="Arial" w:cs="Arial"/>
        </w:rPr>
        <w:t>8</w:t>
      </w:r>
      <w:r w:rsidRPr="00807FF9">
        <w:rPr>
          <w:rFonts w:ascii="Arial" w:eastAsia="楷体_GB2312" w:hAnsi="Arial" w:cs="楷体_GB2312" w:hint="eastAsia"/>
        </w:rPr>
        <w:t>家，占</w:t>
      </w:r>
      <w:r w:rsidRPr="00807FF9">
        <w:rPr>
          <w:rFonts w:ascii="Arial" w:eastAsia="楷体_GB2312" w:hAnsi="Arial" w:cs="Arial"/>
        </w:rPr>
        <w:t>1</w:t>
      </w:r>
      <w:r>
        <w:rPr>
          <w:rFonts w:ascii="Arial" w:eastAsia="楷体_GB2312" w:hAnsi="Arial" w:cs="Arial"/>
        </w:rPr>
        <w:t>2.07</w:t>
      </w:r>
      <w:r w:rsidRPr="00807FF9">
        <w:rPr>
          <w:rFonts w:ascii="Arial" w:eastAsia="楷体_GB2312" w:hAnsi="Arial" w:cs="Arial"/>
        </w:rPr>
        <w:t>%</w:t>
      </w:r>
      <w:r w:rsidRPr="00807FF9">
        <w:rPr>
          <w:rFonts w:ascii="Arial" w:eastAsia="楷体_GB2312" w:hAnsi="Arial" w:cs="楷体_GB2312" w:hint="eastAsia"/>
        </w:rPr>
        <w:t>。其中，高于市场标杆值</w:t>
      </w:r>
      <w:r w:rsidRPr="00807FF9">
        <w:rPr>
          <w:rFonts w:ascii="Arial" w:eastAsia="楷体_GB2312" w:hAnsi="Arial" w:cs="Arial"/>
        </w:rPr>
        <w:t>2</w:t>
      </w:r>
      <w:r w:rsidRPr="00807FF9">
        <w:rPr>
          <w:rFonts w:ascii="Arial" w:eastAsia="楷体_GB2312" w:hAnsi="Arial" w:cs="楷体_GB2312" w:hint="eastAsia"/>
        </w:rPr>
        <w:t>倍以上</w:t>
      </w:r>
      <w:r>
        <w:rPr>
          <w:rFonts w:ascii="Arial" w:eastAsia="楷体_GB2312" w:hAnsi="Arial" w:cs="楷体_GB2312" w:hint="eastAsia"/>
        </w:rPr>
        <w:t>的仅</w:t>
      </w:r>
      <w:r w:rsidRPr="00807FF9">
        <w:rPr>
          <w:rFonts w:ascii="Arial" w:eastAsia="楷体_GB2312" w:hAnsi="Arial" w:cs="楷体_GB2312" w:hint="eastAsia"/>
        </w:rPr>
        <w:t>有</w:t>
      </w:r>
      <w:r>
        <w:rPr>
          <w:rFonts w:ascii="Arial" w:eastAsia="楷体_GB2312" w:hAnsi="Arial" w:cs="Arial"/>
        </w:rPr>
        <w:t>7</w:t>
      </w:r>
      <w:r w:rsidRPr="00807FF9">
        <w:rPr>
          <w:rFonts w:ascii="Arial" w:eastAsia="楷体_GB2312" w:hAnsi="Arial" w:cs="楷体_GB2312" w:hint="eastAsia"/>
        </w:rPr>
        <w:t>家，占</w:t>
      </w:r>
      <w:r>
        <w:rPr>
          <w:rFonts w:ascii="Arial" w:eastAsia="楷体_GB2312" w:hAnsi="Arial" w:cs="Arial"/>
        </w:rPr>
        <w:t>3</w:t>
      </w:r>
      <w:r w:rsidRPr="00807FF9">
        <w:rPr>
          <w:rFonts w:ascii="Arial" w:eastAsia="楷体_GB2312" w:hAnsi="Arial" w:cs="Arial"/>
        </w:rPr>
        <w:t>.0</w:t>
      </w:r>
      <w:r>
        <w:rPr>
          <w:rFonts w:ascii="Arial" w:eastAsia="楷体_GB2312" w:hAnsi="Arial" w:cs="Arial"/>
        </w:rPr>
        <w:t>2</w:t>
      </w:r>
      <w:r w:rsidRPr="00807FF9">
        <w:rPr>
          <w:rFonts w:ascii="Arial" w:eastAsia="楷体_GB2312" w:hAnsi="Arial" w:cs="Arial"/>
        </w:rPr>
        <w:t>%</w:t>
      </w:r>
      <w:r w:rsidRPr="00807FF9">
        <w:rPr>
          <w:rFonts w:ascii="Arial" w:eastAsia="楷体_GB2312" w:hAnsi="Arial" w:cs="楷体_GB2312" w:hint="eastAsia"/>
        </w:rPr>
        <w:t>。另有</w:t>
      </w:r>
      <w:r>
        <w:rPr>
          <w:rFonts w:ascii="Arial" w:eastAsia="楷体_GB2312" w:hAnsi="Arial" w:cs="Arial"/>
        </w:rPr>
        <w:t>110</w:t>
      </w:r>
      <w:r w:rsidRPr="00807FF9">
        <w:rPr>
          <w:rFonts w:ascii="Arial" w:eastAsia="楷体_GB2312" w:hAnsi="Arial" w:cs="楷体_GB2312" w:hint="eastAsia"/>
        </w:rPr>
        <w:t>家激励程度值缺省</w:t>
      </w:r>
      <w:r w:rsidRPr="00807FF9">
        <w:rPr>
          <w:rStyle w:val="FootnoteReference"/>
          <w:rFonts w:ascii="Arial" w:eastAsia="楷体_GB2312" w:hAnsi="Arial" w:cs="Times New Roman"/>
        </w:rPr>
        <w:footnoteReference w:id="7"/>
      </w:r>
      <w:r w:rsidRPr="00807FF9">
        <w:rPr>
          <w:rFonts w:ascii="Arial" w:eastAsia="楷体_GB2312" w:hAnsi="Arial" w:cs="楷体_GB2312" w:hint="eastAsia"/>
        </w:rPr>
        <w:t>，占</w:t>
      </w:r>
      <w:r>
        <w:rPr>
          <w:rFonts w:ascii="Arial" w:eastAsia="楷体_GB2312" w:hAnsi="Arial" w:cs="Arial"/>
        </w:rPr>
        <w:t>47.41</w:t>
      </w:r>
      <w:r w:rsidRPr="00807FF9">
        <w:rPr>
          <w:rFonts w:ascii="Arial" w:eastAsia="楷体_GB2312" w:hAnsi="Arial" w:cs="Arial"/>
        </w:rPr>
        <w:t>%</w:t>
      </w:r>
      <w:r w:rsidRPr="00807FF9">
        <w:rPr>
          <w:rFonts w:ascii="Arial" w:eastAsia="楷体_GB2312" w:hAnsi="Arial" w:cs="楷体_GB2312" w:hint="eastAsia"/>
        </w:rPr>
        <w:t>。</w:t>
      </w:r>
    </w:p>
    <w:p w:rsidR="00DA0843" w:rsidRPr="00EC7B83" w:rsidRDefault="00DA0843" w:rsidP="008D4B5F">
      <w:pPr>
        <w:spacing w:beforeLines="50"/>
        <w:outlineLvl w:val="1"/>
        <w:rPr>
          <w:rFonts w:ascii="Arial" w:eastAsia="楷体_GB2312" w:hAnsi="Arial" w:cs="Times New Roman"/>
          <w:b/>
          <w:bCs/>
          <w:sz w:val="22"/>
          <w:szCs w:val="22"/>
        </w:rPr>
      </w:pPr>
      <w:bookmarkStart w:id="8" w:name="_Toc332381641"/>
      <w:r w:rsidRPr="00EC7B83">
        <w:rPr>
          <w:rFonts w:ascii="Arial" w:eastAsia="楷体_GB2312" w:hAnsi="Arial" w:cs="楷体_GB2312" w:hint="eastAsia"/>
          <w:b/>
          <w:bCs/>
          <w:sz w:val="22"/>
          <w:szCs w:val="22"/>
        </w:rPr>
        <w:t>行业</w:t>
      </w:r>
      <w:r>
        <w:rPr>
          <w:rFonts w:ascii="Arial" w:eastAsia="楷体_GB2312" w:hAnsi="Arial" w:cs="楷体_GB2312" w:hint="eastAsia"/>
          <w:b/>
          <w:bCs/>
          <w:sz w:val="22"/>
          <w:szCs w:val="22"/>
        </w:rPr>
        <w:t>间高管</w:t>
      </w:r>
      <w:r w:rsidRPr="00EC7B83">
        <w:rPr>
          <w:rFonts w:ascii="Arial" w:eastAsia="楷体_GB2312" w:hAnsi="Arial" w:cs="楷体_GB2312" w:hint="eastAsia"/>
          <w:b/>
          <w:bCs/>
          <w:sz w:val="22"/>
          <w:szCs w:val="22"/>
        </w:rPr>
        <w:t>激励程度</w:t>
      </w:r>
      <w:r>
        <w:rPr>
          <w:rFonts w:ascii="Arial" w:eastAsia="楷体_GB2312" w:hAnsi="Arial" w:cs="楷体_GB2312" w:hint="eastAsia"/>
          <w:b/>
          <w:bCs/>
          <w:sz w:val="22"/>
          <w:szCs w:val="22"/>
        </w:rPr>
        <w:t>比较</w:t>
      </w:r>
      <w:r w:rsidRPr="00EC7B83">
        <w:rPr>
          <w:rFonts w:ascii="Arial" w:eastAsia="楷体_GB2312" w:hAnsi="Arial" w:cs="楷体_GB2312" w:hint="eastAsia"/>
          <w:b/>
          <w:bCs/>
          <w:sz w:val="22"/>
          <w:szCs w:val="22"/>
        </w:rPr>
        <w:t>：</w:t>
      </w:r>
      <w:r>
        <w:rPr>
          <w:rFonts w:ascii="Arial" w:eastAsia="楷体_GB2312" w:hAnsi="Arial" w:cs="楷体_GB2312" w:hint="eastAsia"/>
          <w:b/>
          <w:bCs/>
          <w:sz w:val="22"/>
          <w:szCs w:val="22"/>
        </w:rPr>
        <w:t>江苏</w:t>
      </w:r>
      <w:r w:rsidRPr="00EC7B83">
        <w:rPr>
          <w:rFonts w:ascii="Arial" w:eastAsia="楷体_GB2312" w:hAnsi="Arial" w:cs="楷体_GB2312" w:hint="eastAsia"/>
          <w:b/>
          <w:bCs/>
          <w:sz w:val="22"/>
          <w:szCs w:val="22"/>
        </w:rPr>
        <w:t>各行业间高管薪酬激励程度</w:t>
      </w:r>
      <w:bookmarkEnd w:id="8"/>
      <w:r>
        <w:rPr>
          <w:rFonts w:ascii="Arial" w:eastAsia="楷体_GB2312" w:hAnsi="Arial" w:cs="楷体_GB2312" w:hint="eastAsia"/>
          <w:b/>
          <w:bCs/>
          <w:sz w:val="22"/>
          <w:szCs w:val="22"/>
        </w:rPr>
        <w:t>差距过</w:t>
      </w:r>
      <w:r>
        <w:rPr>
          <w:rFonts w:ascii="Arial" w:eastAsia="楷体_GB2312" w:hAnsi="Arial" w:cs="Arial"/>
          <w:b/>
          <w:bCs/>
          <w:sz w:val="22"/>
          <w:szCs w:val="22"/>
        </w:rPr>
        <w:t>2</w:t>
      </w:r>
      <w:r w:rsidRPr="00EC7B83">
        <w:rPr>
          <w:rFonts w:ascii="Arial" w:eastAsia="楷体_GB2312" w:hAnsi="Arial" w:cs="楷体_GB2312" w:hint="eastAsia"/>
          <w:b/>
          <w:bCs/>
          <w:sz w:val="22"/>
          <w:szCs w:val="22"/>
        </w:rPr>
        <w:t>倍，</w:t>
      </w:r>
      <w:r>
        <w:rPr>
          <w:rFonts w:ascii="Arial" w:eastAsia="楷体_GB2312" w:hAnsi="Arial" w:cs="楷体_GB2312" w:hint="eastAsia"/>
          <w:b/>
          <w:bCs/>
          <w:sz w:val="22"/>
          <w:szCs w:val="22"/>
        </w:rPr>
        <w:t>金融、房产等低于全国水平</w:t>
      </w:r>
    </w:p>
    <w:p w:rsidR="00DA0843" w:rsidRPr="003D0B4A" w:rsidRDefault="00DA0843" w:rsidP="00370B4F">
      <w:pPr>
        <w:spacing w:beforeLines="50"/>
        <w:ind w:firstLineChars="200" w:firstLine="31680"/>
        <w:rPr>
          <w:rFonts w:ascii="Arial" w:eastAsia="楷体_GB2312" w:hAnsi="Arial" w:cs="Times New Roman"/>
        </w:rPr>
      </w:pPr>
      <w:r w:rsidRPr="003D0B4A">
        <w:rPr>
          <w:rFonts w:ascii="Arial" w:eastAsia="楷体_GB2312" w:hAnsi="Arial" w:cs="Arial"/>
        </w:rPr>
        <w:t>201</w:t>
      </w:r>
      <w:r>
        <w:rPr>
          <w:rFonts w:ascii="Arial" w:eastAsia="楷体_GB2312" w:hAnsi="Arial" w:cs="Arial"/>
        </w:rPr>
        <w:t>2</w:t>
      </w:r>
      <w:r w:rsidRPr="003D0B4A">
        <w:rPr>
          <w:rFonts w:ascii="Arial" w:eastAsia="楷体_GB2312" w:hAnsi="Arial" w:cs="楷体_GB2312" w:hint="eastAsia"/>
        </w:rPr>
        <w:t>年江苏省不同行业的上市公司高管薪酬激励程度值差异较大。建筑业激励程度最高，激励程度值均值为</w:t>
      </w:r>
      <w:r w:rsidRPr="003D0B4A">
        <w:rPr>
          <w:rFonts w:ascii="Arial" w:eastAsia="楷体_GB2312" w:hAnsi="Arial" w:cs="Arial"/>
        </w:rPr>
        <w:t>1.</w:t>
      </w:r>
      <w:r>
        <w:rPr>
          <w:rFonts w:ascii="Arial" w:eastAsia="楷体_GB2312" w:hAnsi="Arial" w:cs="Arial"/>
        </w:rPr>
        <w:t>61</w:t>
      </w:r>
      <w:r w:rsidRPr="003D0B4A">
        <w:rPr>
          <w:rFonts w:ascii="Arial" w:eastAsia="楷体_GB2312" w:hAnsi="Arial" w:cs="楷体_GB2312" w:hint="eastAsia"/>
        </w:rPr>
        <w:t>；</w:t>
      </w:r>
      <w:r>
        <w:rPr>
          <w:rFonts w:ascii="Arial" w:eastAsia="楷体_GB2312" w:hAnsi="Arial" w:cs="楷体_GB2312" w:hint="eastAsia"/>
        </w:rPr>
        <w:t>金融、保险业</w:t>
      </w:r>
      <w:r w:rsidRPr="003D0B4A">
        <w:rPr>
          <w:rFonts w:ascii="Arial" w:eastAsia="楷体_GB2312" w:hAnsi="Arial" w:cs="楷体_GB2312" w:hint="eastAsia"/>
        </w:rPr>
        <w:t>激励程度最低，激励程度值均值为</w:t>
      </w:r>
      <w:r w:rsidRPr="003D0B4A">
        <w:rPr>
          <w:rFonts w:ascii="Arial" w:eastAsia="楷体_GB2312" w:hAnsi="Arial" w:cs="Arial"/>
        </w:rPr>
        <w:t>0.</w:t>
      </w:r>
      <w:r>
        <w:rPr>
          <w:rFonts w:ascii="Arial" w:eastAsia="楷体_GB2312" w:hAnsi="Arial" w:cs="Arial"/>
        </w:rPr>
        <w:t>6</w:t>
      </w:r>
      <w:r w:rsidRPr="003D0B4A">
        <w:rPr>
          <w:rFonts w:ascii="Arial" w:eastAsia="楷体_GB2312" w:hAnsi="Arial" w:cs="楷体_GB2312" w:hint="eastAsia"/>
        </w:rPr>
        <w:t>，两者</w:t>
      </w:r>
      <w:r>
        <w:rPr>
          <w:rFonts w:ascii="Arial" w:eastAsia="楷体_GB2312" w:hAnsi="Arial" w:cs="楷体_GB2312" w:hint="eastAsia"/>
        </w:rPr>
        <w:t>间差距超过</w:t>
      </w:r>
      <w:r>
        <w:rPr>
          <w:rFonts w:ascii="Arial" w:eastAsia="楷体_GB2312" w:hAnsi="Arial" w:cs="Arial"/>
        </w:rPr>
        <w:t>2</w:t>
      </w:r>
      <w:r w:rsidRPr="003D0B4A">
        <w:rPr>
          <w:rFonts w:ascii="Arial" w:eastAsia="楷体_GB2312" w:hAnsi="Arial" w:cs="楷体_GB2312" w:hint="eastAsia"/>
        </w:rPr>
        <w:t>倍。</w:t>
      </w:r>
    </w:p>
    <w:p w:rsidR="00DA0843" w:rsidRDefault="00DA0843" w:rsidP="00370B4F">
      <w:pPr>
        <w:spacing w:beforeLines="50"/>
        <w:ind w:firstLineChars="200" w:firstLine="31680"/>
        <w:rPr>
          <w:rFonts w:ascii="Arial" w:eastAsia="楷体_GB2312" w:hAnsi="Arial" w:cs="Times New Roman"/>
        </w:rPr>
      </w:pPr>
      <w:r w:rsidRPr="003D0B4A">
        <w:rPr>
          <w:rFonts w:ascii="Arial" w:eastAsia="楷体_GB2312" w:hAnsi="Arial" w:cs="楷体_GB2312" w:hint="eastAsia"/>
        </w:rPr>
        <w:t>与全国上市公司激励程度相比，江苏省金融保险</w:t>
      </w:r>
      <w:r>
        <w:rPr>
          <w:rFonts w:ascii="Arial" w:eastAsia="楷体_GB2312" w:hAnsi="Arial" w:cs="楷体_GB2312" w:hint="eastAsia"/>
        </w:rPr>
        <w:t>业、房地产业、交通运输仓储业、综合类等多个行业的上市公司高管薪酬激励程度值均值远低于全国激励程度值均值。</w:t>
      </w:r>
      <w:r w:rsidRPr="003D0B4A">
        <w:rPr>
          <w:rFonts w:ascii="Arial" w:eastAsia="楷体_GB2312" w:hAnsi="Arial" w:cs="楷体_GB2312" w:hint="eastAsia"/>
        </w:rPr>
        <w:t>建筑业高管薪酬全国激励程度值均值为</w:t>
      </w:r>
      <w:r>
        <w:rPr>
          <w:rFonts w:ascii="Arial" w:eastAsia="楷体_GB2312" w:hAnsi="Arial" w:cs="Arial"/>
        </w:rPr>
        <w:t>0.97</w:t>
      </w:r>
      <w:r w:rsidRPr="003D0B4A">
        <w:rPr>
          <w:rFonts w:ascii="Arial" w:eastAsia="楷体_GB2312" w:hAnsi="Arial" w:cs="楷体_GB2312" w:hint="eastAsia"/>
        </w:rPr>
        <w:t>，江苏省则高达</w:t>
      </w:r>
      <w:r>
        <w:rPr>
          <w:rFonts w:ascii="Arial" w:eastAsia="楷体_GB2312" w:hAnsi="Arial" w:cs="Arial"/>
        </w:rPr>
        <w:t>1.61</w:t>
      </w:r>
      <w:r w:rsidRPr="003D0B4A">
        <w:rPr>
          <w:rFonts w:ascii="Arial" w:eastAsia="楷体_GB2312" w:hAnsi="Arial" w:cs="楷体_GB2312" w:hint="eastAsia"/>
        </w:rPr>
        <w:t>。信息技术业</w:t>
      </w:r>
      <w:r>
        <w:rPr>
          <w:rFonts w:ascii="Arial" w:eastAsia="楷体_GB2312" w:hAnsi="Arial" w:cs="楷体_GB2312" w:hint="eastAsia"/>
        </w:rPr>
        <w:t>的</w:t>
      </w:r>
      <w:r w:rsidRPr="003D0B4A">
        <w:rPr>
          <w:rFonts w:ascii="Arial" w:eastAsia="楷体_GB2312" w:hAnsi="Arial" w:cs="楷体_GB2312" w:hint="eastAsia"/>
        </w:rPr>
        <w:t>激励程度值均值基本与全国均值持平，激励程度</w:t>
      </w:r>
      <w:r>
        <w:rPr>
          <w:rFonts w:ascii="Arial" w:eastAsia="楷体_GB2312" w:hAnsi="Arial" w:cs="楷体_GB2312" w:hint="eastAsia"/>
        </w:rPr>
        <w:t>较其他行业而言相对</w:t>
      </w:r>
      <w:r w:rsidRPr="003D0B4A">
        <w:rPr>
          <w:rFonts w:ascii="Arial" w:eastAsia="楷体_GB2312" w:hAnsi="Arial" w:cs="楷体_GB2312" w:hint="eastAsia"/>
        </w:rPr>
        <w:t>合理。</w:t>
      </w:r>
    </w:p>
    <w:p w:rsidR="00DA0843" w:rsidRPr="00257F15" w:rsidRDefault="00DA0843" w:rsidP="008D4B5F">
      <w:pPr>
        <w:spacing w:beforeLines="50"/>
        <w:outlineLvl w:val="1"/>
        <w:rPr>
          <w:rFonts w:ascii="Arial" w:eastAsia="楷体_GB2312" w:hAnsi="Arial" w:cs="Times New Roman"/>
          <w:b/>
          <w:bCs/>
          <w:sz w:val="22"/>
          <w:szCs w:val="22"/>
        </w:rPr>
      </w:pPr>
      <w:bookmarkStart w:id="9" w:name="_Toc332381642"/>
      <w:r w:rsidRPr="00257F15">
        <w:rPr>
          <w:rFonts w:ascii="Arial" w:eastAsia="楷体_GB2312" w:hAnsi="Arial" w:cs="楷体_GB2312" w:hint="eastAsia"/>
          <w:b/>
          <w:bCs/>
          <w:sz w:val="22"/>
          <w:szCs w:val="22"/>
        </w:rPr>
        <w:t>省内</w:t>
      </w:r>
      <w:r>
        <w:rPr>
          <w:rFonts w:ascii="Arial" w:eastAsia="楷体_GB2312" w:hAnsi="Arial" w:cs="楷体_GB2312" w:hint="eastAsia"/>
          <w:b/>
          <w:bCs/>
          <w:sz w:val="22"/>
          <w:szCs w:val="22"/>
        </w:rPr>
        <w:t>地区间高管</w:t>
      </w:r>
      <w:r w:rsidRPr="00257F15">
        <w:rPr>
          <w:rFonts w:ascii="Arial" w:eastAsia="楷体_GB2312" w:hAnsi="Arial" w:cs="楷体_GB2312" w:hint="eastAsia"/>
          <w:b/>
          <w:bCs/>
          <w:sz w:val="22"/>
          <w:szCs w:val="22"/>
        </w:rPr>
        <w:t>激励程度</w:t>
      </w:r>
      <w:r>
        <w:rPr>
          <w:rFonts w:ascii="Arial" w:eastAsia="楷体_GB2312" w:hAnsi="Arial" w:cs="楷体_GB2312" w:hint="eastAsia"/>
          <w:b/>
          <w:bCs/>
          <w:sz w:val="22"/>
          <w:szCs w:val="22"/>
        </w:rPr>
        <w:t>比较</w:t>
      </w:r>
      <w:r w:rsidRPr="00257F15">
        <w:rPr>
          <w:rFonts w:ascii="Arial" w:eastAsia="楷体_GB2312" w:hAnsi="Arial" w:cs="楷体_GB2312" w:hint="eastAsia"/>
          <w:b/>
          <w:bCs/>
          <w:sz w:val="22"/>
          <w:szCs w:val="22"/>
        </w:rPr>
        <w:t>：</w:t>
      </w:r>
      <w:r>
        <w:rPr>
          <w:rFonts w:ascii="Arial" w:eastAsia="楷体_GB2312" w:hAnsi="Arial" w:cs="楷体_GB2312" w:hint="eastAsia"/>
          <w:b/>
          <w:bCs/>
          <w:sz w:val="22"/>
          <w:szCs w:val="22"/>
        </w:rPr>
        <w:t>江苏各</w:t>
      </w:r>
      <w:r w:rsidRPr="00257F15">
        <w:rPr>
          <w:rFonts w:ascii="Arial" w:eastAsia="楷体_GB2312" w:hAnsi="Arial" w:cs="楷体_GB2312" w:hint="eastAsia"/>
          <w:b/>
          <w:bCs/>
          <w:sz w:val="22"/>
          <w:szCs w:val="22"/>
        </w:rPr>
        <w:t>城市高管薪酬激励程度</w:t>
      </w:r>
      <w:bookmarkEnd w:id="9"/>
      <w:r>
        <w:rPr>
          <w:rFonts w:ascii="Arial" w:eastAsia="楷体_GB2312" w:hAnsi="Arial" w:cs="楷体_GB2312" w:hint="eastAsia"/>
          <w:b/>
          <w:bCs/>
          <w:sz w:val="22"/>
          <w:szCs w:val="22"/>
        </w:rPr>
        <w:t>整体偏低，徐州最高，泰州最低</w:t>
      </w:r>
    </w:p>
    <w:p w:rsidR="00DA0843" w:rsidRDefault="00DA0843" w:rsidP="00370B4F">
      <w:pPr>
        <w:spacing w:beforeLines="50"/>
        <w:ind w:firstLineChars="200" w:firstLine="31680"/>
        <w:rPr>
          <w:rFonts w:ascii="Arial" w:eastAsia="楷体_GB2312" w:hAnsi="Arial" w:cs="Times New Roman"/>
        </w:rPr>
      </w:pPr>
      <w:r w:rsidRPr="00A36EAF">
        <w:rPr>
          <w:rFonts w:ascii="Arial" w:eastAsia="楷体_GB2312" w:hAnsi="Arial" w:cs="楷体_GB2312" w:hint="eastAsia"/>
        </w:rPr>
        <w:t>从</w:t>
      </w:r>
      <w:r w:rsidRPr="00A36EAF">
        <w:rPr>
          <w:rFonts w:ascii="Arial" w:eastAsia="楷体_GB2312" w:hAnsi="Arial" w:cs="Arial"/>
        </w:rPr>
        <w:t>201</w:t>
      </w:r>
      <w:r>
        <w:rPr>
          <w:rFonts w:ascii="Arial" w:eastAsia="楷体_GB2312" w:hAnsi="Arial" w:cs="Arial"/>
        </w:rPr>
        <w:t>2</w:t>
      </w:r>
      <w:r w:rsidRPr="00A36EAF">
        <w:rPr>
          <w:rFonts w:ascii="Arial" w:eastAsia="楷体_GB2312" w:hAnsi="Arial" w:cs="楷体_GB2312" w:hint="eastAsia"/>
        </w:rPr>
        <w:t>年江苏省不同城市的上市公司高管薪酬激励程度值均值情况来看，泰州的激励程度值均值最低，为</w:t>
      </w:r>
      <w:r w:rsidRPr="00A36EAF">
        <w:rPr>
          <w:rFonts w:ascii="Arial" w:eastAsia="楷体_GB2312" w:hAnsi="Arial" w:cs="Arial"/>
        </w:rPr>
        <w:t>0.</w:t>
      </w:r>
      <w:r>
        <w:rPr>
          <w:rFonts w:ascii="Arial" w:eastAsia="楷体_GB2312" w:hAnsi="Arial" w:cs="Arial"/>
        </w:rPr>
        <w:t>32</w:t>
      </w:r>
      <w:r w:rsidRPr="00A36EAF">
        <w:rPr>
          <w:rFonts w:ascii="Arial" w:eastAsia="楷体_GB2312" w:hAnsi="Arial" w:cs="楷体_GB2312" w:hint="eastAsia"/>
        </w:rPr>
        <w:t>；徐州的激励程度值均值最高，为</w:t>
      </w:r>
      <w:r w:rsidRPr="00A36EAF">
        <w:rPr>
          <w:rFonts w:ascii="Arial" w:eastAsia="楷体_GB2312" w:hAnsi="Arial" w:cs="Arial"/>
        </w:rPr>
        <w:t>1.</w:t>
      </w:r>
      <w:r>
        <w:rPr>
          <w:rFonts w:ascii="Arial" w:eastAsia="楷体_GB2312" w:hAnsi="Arial" w:cs="Arial"/>
        </w:rPr>
        <w:t>84</w:t>
      </w:r>
      <w:r w:rsidRPr="00A36EAF">
        <w:rPr>
          <w:rFonts w:ascii="Arial" w:eastAsia="楷体_GB2312" w:hAnsi="Arial" w:cs="楷体_GB2312" w:hint="eastAsia"/>
        </w:rPr>
        <w:t>，最高比最低高出约</w:t>
      </w:r>
      <w:r>
        <w:rPr>
          <w:rFonts w:ascii="Arial" w:eastAsia="楷体_GB2312" w:hAnsi="Arial" w:cs="Arial"/>
        </w:rPr>
        <w:t>6</w:t>
      </w:r>
      <w:r w:rsidRPr="00A36EAF">
        <w:rPr>
          <w:rFonts w:ascii="Arial" w:eastAsia="楷体_GB2312" w:hAnsi="Arial" w:cs="楷体_GB2312" w:hint="eastAsia"/>
        </w:rPr>
        <w:t>倍。</w:t>
      </w:r>
      <w:r>
        <w:rPr>
          <w:rFonts w:ascii="Arial" w:eastAsia="楷体_GB2312" w:hAnsi="Arial" w:cs="楷体_GB2312" w:hint="eastAsia"/>
        </w:rPr>
        <w:t>除徐州以外，江苏省各城市</w:t>
      </w:r>
      <w:r>
        <w:rPr>
          <w:rFonts w:ascii="Arial" w:eastAsia="楷体_GB2312" w:hAnsi="Arial" w:cs="Arial"/>
        </w:rPr>
        <w:t>2012</w:t>
      </w:r>
      <w:r>
        <w:rPr>
          <w:rFonts w:ascii="Arial" w:eastAsia="楷体_GB2312" w:hAnsi="Arial" w:cs="楷体_GB2312" w:hint="eastAsia"/>
        </w:rPr>
        <w:t>年的激励程度普遍偏低，激励程度值均低于</w:t>
      </w:r>
      <w:r>
        <w:rPr>
          <w:rFonts w:ascii="Arial" w:eastAsia="楷体_GB2312" w:hAnsi="Arial" w:cs="Arial"/>
        </w:rPr>
        <w:t>0.9</w:t>
      </w:r>
      <w:r>
        <w:rPr>
          <w:rFonts w:ascii="Arial" w:eastAsia="楷体_GB2312" w:hAnsi="Arial" w:cs="楷体_GB2312" w:hint="eastAsia"/>
        </w:rPr>
        <w:t>。激励程度值次于徐州的苏州和无锡</w:t>
      </w:r>
      <w:r w:rsidRPr="00A36EAF">
        <w:rPr>
          <w:rFonts w:ascii="Arial" w:eastAsia="楷体_GB2312" w:hAnsi="Arial" w:cs="楷体_GB2312" w:hint="eastAsia"/>
        </w:rPr>
        <w:t>两市上市公司高管薪酬激励程度值均值分别</w:t>
      </w:r>
      <w:r>
        <w:rPr>
          <w:rFonts w:ascii="Arial" w:eastAsia="楷体_GB2312" w:hAnsi="Arial" w:cs="楷体_GB2312" w:hint="eastAsia"/>
        </w:rPr>
        <w:t>仅</w:t>
      </w:r>
      <w:r w:rsidRPr="00A36EAF">
        <w:rPr>
          <w:rFonts w:ascii="Arial" w:eastAsia="楷体_GB2312" w:hAnsi="Arial" w:cs="楷体_GB2312" w:hint="eastAsia"/>
        </w:rPr>
        <w:t>为</w:t>
      </w:r>
      <w:r>
        <w:rPr>
          <w:rFonts w:ascii="Arial" w:eastAsia="楷体_GB2312" w:hAnsi="Arial" w:cs="Arial"/>
        </w:rPr>
        <w:t>0.84</w:t>
      </w:r>
      <w:r w:rsidRPr="00A36EAF">
        <w:rPr>
          <w:rFonts w:ascii="Arial" w:eastAsia="楷体_GB2312" w:hAnsi="Arial" w:cs="楷体_GB2312" w:hint="eastAsia"/>
        </w:rPr>
        <w:t>和</w:t>
      </w:r>
      <w:r>
        <w:rPr>
          <w:rFonts w:ascii="Arial" w:eastAsia="楷体_GB2312" w:hAnsi="Arial" w:cs="Arial"/>
        </w:rPr>
        <w:t>0.83</w:t>
      </w:r>
      <w:r w:rsidRPr="00A36EAF">
        <w:rPr>
          <w:rFonts w:ascii="Arial" w:eastAsia="楷体_GB2312" w:hAnsi="Arial" w:cs="楷体_GB2312" w:hint="eastAsia"/>
        </w:rPr>
        <w:t>。</w:t>
      </w:r>
    </w:p>
    <w:p w:rsidR="00DA0843" w:rsidRPr="009A54A0" w:rsidRDefault="00DA0843" w:rsidP="008D4B5F">
      <w:pPr>
        <w:spacing w:beforeLines="50"/>
        <w:outlineLvl w:val="1"/>
        <w:rPr>
          <w:rFonts w:ascii="Arial" w:eastAsia="楷体_GB2312" w:hAnsi="Arial" w:cs="Times New Roman"/>
          <w:b/>
          <w:bCs/>
          <w:sz w:val="22"/>
          <w:szCs w:val="22"/>
        </w:rPr>
      </w:pPr>
      <w:bookmarkStart w:id="10" w:name="_Toc332381643"/>
      <w:r>
        <w:rPr>
          <w:rFonts w:ascii="Arial" w:eastAsia="楷体_GB2312" w:hAnsi="Arial" w:cs="楷体_GB2312" w:hint="eastAsia"/>
          <w:b/>
          <w:bCs/>
          <w:sz w:val="22"/>
          <w:szCs w:val="22"/>
        </w:rPr>
        <w:t>不同</w:t>
      </w:r>
      <w:r w:rsidRPr="009A54A0">
        <w:rPr>
          <w:rFonts w:ascii="Arial" w:eastAsia="楷体_GB2312" w:hAnsi="Arial" w:cs="楷体_GB2312" w:hint="eastAsia"/>
          <w:b/>
          <w:bCs/>
          <w:sz w:val="22"/>
          <w:szCs w:val="22"/>
        </w:rPr>
        <w:t>所有制</w:t>
      </w:r>
      <w:r>
        <w:rPr>
          <w:rFonts w:ascii="Arial" w:eastAsia="楷体_GB2312" w:hAnsi="Arial" w:cs="楷体_GB2312" w:hint="eastAsia"/>
          <w:b/>
          <w:bCs/>
          <w:sz w:val="22"/>
          <w:szCs w:val="22"/>
        </w:rPr>
        <w:t>企业间</w:t>
      </w:r>
      <w:r w:rsidRPr="009A54A0">
        <w:rPr>
          <w:rFonts w:ascii="Arial" w:eastAsia="楷体_GB2312" w:hAnsi="Arial" w:cs="楷体_GB2312" w:hint="eastAsia"/>
          <w:b/>
          <w:bCs/>
          <w:sz w:val="22"/>
          <w:szCs w:val="22"/>
        </w:rPr>
        <w:t>激励程度</w:t>
      </w:r>
      <w:r>
        <w:rPr>
          <w:rFonts w:ascii="Arial" w:eastAsia="楷体_GB2312" w:hAnsi="Arial" w:cs="楷体_GB2312" w:hint="eastAsia"/>
          <w:b/>
          <w:bCs/>
          <w:sz w:val="22"/>
          <w:szCs w:val="22"/>
        </w:rPr>
        <w:t>比较</w:t>
      </w:r>
      <w:r w:rsidRPr="009A54A0">
        <w:rPr>
          <w:rFonts w:ascii="Arial" w:eastAsia="楷体_GB2312" w:hAnsi="Arial" w:cs="楷体_GB2312" w:hint="eastAsia"/>
          <w:b/>
          <w:bCs/>
          <w:sz w:val="22"/>
          <w:szCs w:val="22"/>
        </w:rPr>
        <w:t>：</w:t>
      </w:r>
      <w:r>
        <w:rPr>
          <w:rFonts w:ascii="Arial" w:eastAsia="楷体_GB2312" w:hAnsi="Arial" w:cs="楷体_GB2312" w:hint="eastAsia"/>
          <w:b/>
          <w:bCs/>
          <w:sz w:val="22"/>
          <w:szCs w:val="22"/>
        </w:rPr>
        <w:t>江苏</w:t>
      </w:r>
      <w:r w:rsidRPr="009A54A0">
        <w:rPr>
          <w:rFonts w:ascii="Arial" w:eastAsia="楷体_GB2312" w:hAnsi="Arial" w:cs="楷体_GB2312" w:hint="eastAsia"/>
          <w:b/>
          <w:bCs/>
          <w:sz w:val="22"/>
          <w:szCs w:val="22"/>
        </w:rPr>
        <w:t>非国有控股上市公司高管薪酬激励程度略强于国有控股上市公司</w:t>
      </w:r>
      <w:bookmarkEnd w:id="10"/>
    </w:p>
    <w:p w:rsidR="00DA0843" w:rsidRPr="00844342" w:rsidRDefault="00DA0843" w:rsidP="00370B4F">
      <w:pPr>
        <w:spacing w:beforeLines="50"/>
        <w:ind w:firstLineChars="200" w:firstLine="31680"/>
        <w:rPr>
          <w:rFonts w:ascii="Arial" w:eastAsia="楷体_GB2312" w:hAnsi="Arial" w:cs="Times New Roman"/>
          <w:b/>
          <w:bCs/>
          <w:color w:val="FF0000"/>
          <w:shd w:val="pct15" w:color="auto" w:fill="FFFFFF"/>
        </w:rPr>
      </w:pPr>
      <w:r w:rsidRPr="00E967F2">
        <w:rPr>
          <w:rFonts w:ascii="Arial" w:eastAsia="楷体_GB2312" w:hAnsi="Arial" w:cs="Arial"/>
        </w:rPr>
        <w:t>201</w:t>
      </w:r>
      <w:r>
        <w:rPr>
          <w:rFonts w:ascii="Arial" w:eastAsia="楷体_GB2312" w:hAnsi="Arial" w:cs="Arial"/>
        </w:rPr>
        <w:t>2</w:t>
      </w:r>
      <w:r w:rsidRPr="00E967F2">
        <w:rPr>
          <w:rFonts w:ascii="Arial" w:eastAsia="楷体_GB2312" w:hAnsi="Arial" w:cs="楷体_GB2312" w:hint="eastAsia"/>
        </w:rPr>
        <w:t>年江苏省</w:t>
      </w:r>
      <w:r>
        <w:rPr>
          <w:rFonts w:ascii="Arial" w:eastAsia="楷体_GB2312" w:hAnsi="Arial" w:cs="楷体_GB2312" w:hint="eastAsia"/>
        </w:rPr>
        <w:t>非国有上市公司激励程度基本处于同一水平，前者略高于后者。非国有激励程度从上年的</w:t>
      </w:r>
      <w:r>
        <w:rPr>
          <w:rFonts w:ascii="Arial" w:eastAsia="楷体_GB2312" w:hAnsi="Arial" w:cs="Arial"/>
        </w:rPr>
        <w:t>0.86</w:t>
      </w:r>
      <w:r>
        <w:rPr>
          <w:rFonts w:ascii="Arial" w:eastAsia="楷体_GB2312" w:hAnsi="Arial" w:cs="楷体_GB2312" w:hint="eastAsia"/>
        </w:rPr>
        <w:t>下降至</w:t>
      </w:r>
      <w:r>
        <w:rPr>
          <w:rFonts w:ascii="Arial" w:eastAsia="楷体_GB2312" w:hAnsi="Arial" w:cs="Arial"/>
        </w:rPr>
        <w:t>0.7989</w:t>
      </w:r>
      <w:r>
        <w:rPr>
          <w:rFonts w:ascii="Arial" w:eastAsia="楷体_GB2312" w:hAnsi="Arial" w:cs="楷体_GB2312" w:hint="eastAsia"/>
        </w:rPr>
        <w:t>，国有激励程度则较</w:t>
      </w:r>
      <w:r>
        <w:rPr>
          <w:rFonts w:ascii="Arial" w:eastAsia="楷体_GB2312" w:hAnsi="Arial" w:cs="Arial"/>
        </w:rPr>
        <w:t>2011</w:t>
      </w:r>
      <w:r>
        <w:rPr>
          <w:rFonts w:ascii="Arial" w:eastAsia="楷体_GB2312" w:hAnsi="Arial" w:cs="楷体_GB2312" w:hint="eastAsia"/>
        </w:rPr>
        <w:t>年的</w:t>
      </w:r>
      <w:r>
        <w:rPr>
          <w:rFonts w:ascii="Arial" w:eastAsia="楷体_GB2312" w:hAnsi="Arial" w:cs="Arial"/>
        </w:rPr>
        <w:t>0.78</w:t>
      </w:r>
      <w:r>
        <w:rPr>
          <w:rFonts w:ascii="Arial" w:eastAsia="楷体_GB2312" w:hAnsi="Arial" w:cs="楷体_GB2312" w:hint="eastAsia"/>
        </w:rPr>
        <w:t>水平有了略微的提升，达到了</w:t>
      </w:r>
      <w:r>
        <w:rPr>
          <w:rFonts w:ascii="Arial" w:eastAsia="楷体_GB2312" w:hAnsi="Arial" w:cs="Arial"/>
        </w:rPr>
        <w:t>0.7985</w:t>
      </w:r>
      <w:r>
        <w:rPr>
          <w:rFonts w:ascii="Arial" w:eastAsia="楷体_GB2312" w:hAnsi="Arial" w:cs="楷体_GB2312" w:hint="eastAsia"/>
        </w:rPr>
        <w:t>。两者</w:t>
      </w:r>
      <w:r w:rsidRPr="008F15A2">
        <w:rPr>
          <w:rFonts w:ascii="Arial" w:eastAsia="楷体_GB2312" w:hAnsi="Arial" w:cs="楷体_GB2312" w:hint="eastAsia"/>
        </w:rPr>
        <w:t>与全国</w:t>
      </w:r>
      <w:r>
        <w:rPr>
          <w:rFonts w:ascii="Arial" w:eastAsia="楷体_GB2312" w:hAnsi="Arial" w:cs="楷体_GB2312" w:hint="eastAsia"/>
        </w:rPr>
        <w:t>水平</w:t>
      </w:r>
      <w:r w:rsidRPr="008F15A2">
        <w:rPr>
          <w:rFonts w:ascii="Arial" w:eastAsia="楷体_GB2312" w:hAnsi="Arial" w:cs="楷体_GB2312" w:hint="eastAsia"/>
        </w:rPr>
        <w:t>相比存在较大差距。</w:t>
      </w:r>
    </w:p>
    <w:p w:rsidR="00DA0843" w:rsidRPr="003A5267" w:rsidRDefault="00DA0843" w:rsidP="008D4B5F">
      <w:pPr>
        <w:spacing w:beforeLines="50"/>
        <w:outlineLvl w:val="1"/>
        <w:rPr>
          <w:rFonts w:ascii="Arial" w:eastAsia="楷体_GB2312" w:hAnsi="Arial" w:cs="Times New Roman"/>
          <w:b/>
          <w:bCs/>
          <w:sz w:val="22"/>
          <w:szCs w:val="22"/>
        </w:rPr>
      </w:pPr>
      <w:bookmarkStart w:id="11" w:name="_Toc332381644"/>
      <w:r>
        <w:rPr>
          <w:rFonts w:ascii="Arial" w:eastAsia="楷体_GB2312" w:hAnsi="Arial" w:cs="楷体_GB2312" w:hint="eastAsia"/>
          <w:b/>
          <w:bCs/>
          <w:sz w:val="22"/>
          <w:szCs w:val="22"/>
        </w:rPr>
        <w:t>激励程度与企业价值创造：江苏</w:t>
      </w:r>
      <w:r w:rsidRPr="003A5267">
        <w:rPr>
          <w:rFonts w:ascii="Arial" w:eastAsia="楷体_GB2312" w:hAnsi="Arial" w:cs="楷体_GB2312" w:hint="eastAsia"/>
          <w:b/>
          <w:bCs/>
          <w:sz w:val="22"/>
          <w:szCs w:val="22"/>
        </w:rPr>
        <w:t>高管薪酬激励程度与其创造的企业价值</w:t>
      </w:r>
      <w:bookmarkEnd w:id="11"/>
      <w:r w:rsidRPr="003A5267">
        <w:rPr>
          <w:rFonts w:ascii="Arial" w:eastAsia="楷体_GB2312" w:hAnsi="Arial" w:cs="楷体_GB2312" w:hint="eastAsia"/>
          <w:b/>
          <w:bCs/>
          <w:sz w:val="22"/>
          <w:szCs w:val="22"/>
        </w:rPr>
        <w:t>呈正比关系</w:t>
      </w:r>
    </w:p>
    <w:p w:rsidR="00DA0843" w:rsidRPr="003A5267" w:rsidRDefault="00DA0843" w:rsidP="00370B4F">
      <w:pPr>
        <w:spacing w:beforeLines="50"/>
        <w:ind w:firstLineChars="200" w:firstLine="31680"/>
        <w:rPr>
          <w:rFonts w:ascii="Arial" w:eastAsia="楷体_GB2312" w:hAnsi="Arial" w:cs="Times New Roman"/>
        </w:rPr>
      </w:pPr>
      <w:r>
        <w:rPr>
          <w:rFonts w:ascii="Arial" w:eastAsia="楷体_GB2312" w:hAnsi="Arial" w:cs="楷体_GB2312" w:hint="eastAsia"/>
        </w:rPr>
        <w:t>联合咨询中心</w:t>
      </w:r>
      <w:r w:rsidRPr="003A5267">
        <w:rPr>
          <w:rFonts w:ascii="Arial" w:eastAsia="楷体_GB2312" w:hAnsi="Arial" w:cs="楷体_GB2312" w:hint="eastAsia"/>
        </w:rPr>
        <w:t>通过比对上市公司高管薪酬激励程度排名前十、适中、后十以及平均的情况，发现当年高管薪酬激励程度越高，给企业创造的价值越高。</w:t>
      </w:r>
    </w:p>
    <w:p w:rsidR="00DA0843" w:rsidRPr="009F2B5C" w:rsidRDefault="00DA0843" w:rsidP="00370B4F">
      <w:pPr>
        <w:spacing w:beforeLines="50"/>
        <w:ind w:firstLineChars="200" w:firstLine="31680"/>
        <w:rPr>
          <w:rFonts w:ascii="Arial" w:eastAsia="楷体_GB2312" w:hAnsi="Arial" w:cs="Times New Roman"/>
        </w:rPr>
      </w:pPr>
      <w:r w:rsidRPr="009F2B5C">
        <w:rPr>
          <w:rFonts w:ascii="Arial" w:eastAsia="楷体_GB2312" w:hAnsi="Arial" w:cs="楷体_GB2312" w:hint="eastAsia"/>
        </w:rPr>
        <w:t>徐工机械（</w:t>
      </w:r>
      <w:r w:rsidRPr="009F2B5C">
        <w:rPr>
          <w:rFonts w:ascii="Arial" w:eastAsia="楷体_GB2312" w:hAnsi="Arial" w:cs="Arial"/>
        </w:rPr>
        <w:t>000425</w:t>
      </w:r>
      <w:r w:rsidRPr="009F2B5C">
        <w:rPr>
          <w:rFonts w:ascii="Arial" w:eastAsia="楷体_GB2312" w:hAnsi="Arial" w:cs="楷体_GB2312" w:hint="eastAsia"/>
        </w:rPr>
        <w:t>）高管薪酬激励程度值为</w:t>
      </w:r>
      <w:r w:rsidRPr="009F2B5C">
        <w:rPr>
          <w:rFonts w:ascii="Arial" w:eastAsia="楷体_GB2312" w:hAnsi="Arial" w:cs="Arial"/>
        </w:rPr>
        <w:t>3.59</w:t>
      </w:r>
      <w:r w:rsidRPr="009F2B5C">
        <w:rPr>
          <w:rFonts w:ascii="Arial" w:eastAsia="楷体_GB2312" w:hAnsi="Arial" w:cs="楷体_GB2312" w:hint="eastAsia"/>
        </w:rPr>
        <w:t>，排在江苏地区上市公司高管薪酬激励程度榜第一位，在全国</w:t>
      </w:r>
      <w:r>
        <w:rPr>
          <w:rFonts w:ascii="Arial" w:eastAsia="楷体_GB2312" w:hAnsi="Arial" w:cs="楷体_GB2312" w:hint="eastAsia"/>
        </w:rPr>
        <w:t>激励程度榜中排名</w:t>
      </w:r>
      <w:r w:rsidRPr="009F2B5C">
        <w:rPr>
          <w:rFonts w:ascii="Arial" w:eastAsia="楷体_GB2312" w:hAnsi="Arial" w:cs="楷体_GB2312" w:hint="eastAsia"/>
        </w:rPr>
        <w:t>第</w:t>
      </w:r>
      <w:r>
        <w:rPr>
          <w:rFonts w:ascii="Arial" w:eastAsia="楷体_GB2312" w:hAnsi="Arial" w:cs="Arial"/>
        </w:rPr>
        <w:t>45</w:t>
      </w:r>
      <w:r w:rsidRPr="009F2B5C">
        <w:rPr>
          <w:rFonts w:ascii="Arial" w:eastAsia="楷体_GB2312" w:hAnsi="Arial" w:cs="楷体_GB2312" w:hint="eastAsia"/>
        </w:rPr>
        <w:t>位。小天鹅</w:t>
      </w:r>
      <w:r w:rsidRPr="009F2B5C">
        <w:rPr>
          <w:rFonts w:ascii="Arial" w:eastAsia="楷体_GB2312" w:hAnsi="Arial" w:cs="Arial"/>
        </w:rPr>
        <w:t>A</w:t>
      </w:r>
      <w:r w:rsidRPr="009F2B5C">
        <w:rPr>
          <w:rFonts w:ascii="Arial" w:eastAsia="楷体_GB2312" w:hAnsi="Arial" w:cs="楷体_GB2312" w:hint="eastAsia"/>
        </w:rPr>
        <w:t>（</w:t>
      </w:r>
      <w:r w:rsidRPr="009F2B5C">
        <w:rPr>
          <w:rFonts w:ascii="Arial" w:eastAsia="楷体_GB2312" w:hAnsi="Arial" w:cs="Arial"/>
        </w:rPr>
        <w:t>000418</w:t>
      </w:r>
      <w:r w:rsidRPr="009F2B5C">
        <w:rPr>
          <w:rFonts w:ascii="Arial" w:eastAsia="楷体_GB2312" w:hAnsi="Arial" w:cs="楷体_GB2312" w:hint="eastAsia"/>
        </w:rPr>
        <w:t>）、</w:t>
      </w:r>
      <w:r>
        <w:rPr>
          <w:rFonts w:ascii="Arial" w:eastAsia="楷体_GB2312" w:hAnsi="Arial" w:cs="楷体_GB2312" w:hint="eastAsia"/>
        </w:rPr>
        <w:t>栖霞建设</w:t>
      </w:r>
      <w:r w:rsidRPr="009F2B5C">
        <w:rPr>
          <w:rFonts w:ascii="Arial" w:eastAsia="楷体_GB2312" w:hAnsi="Arial" w:cs="楷体_GB2312" w:hint="eastAsia"/>
        </w:rPr>
        <w:t>（</w:t>
      </w:r>
      <w:r w:rsidRPr="009F2B5C">
        <w:rPr>
          <w:rFonts w:ascii="Arial" w:eastAsia="楷体_GB2312" w:hAnsi="Arial" w:cs="Arial"/>
        </w:rPr>
        <w:t>600</w:t>
      </w:r>
      <w:r>
        <w:rPr>
          <w:rFonts w:ascii="Arial" w:eastAsia="楷体_GB2312" w:hAnsi="Arial" w:cs="Arial"/>
        </w:rPr>
        <w:t>533</w:t>
      </w:r>
      <w:r w:rsidRPr="009F2B5C">
        <w:rPr>
          <w:rFonts w:ascii="Arial" w:eastAsia="楷体_GB2312" w:hAnsi="Arial" w:cs="楷体_GB2312" w:hint="eastAsia"/>
        </w:rPr>
        <w:t>）依次排在第二、三位。如意集团（</w:t>
      </w:r>
      <w:r w:rsidRPr="009F2B5C">
        <w:rPr>
          <w:rFonts w:ascii="Arial" w:eastAsia="楷体_GB2312" w:hAnsi="Arial" w:cs="Arial"/>
        </w:rPr>
        <w:t>000626</w:t>
      </w:r>
      <w:r w:rsidRPr="009F2B5C">
        <w:rPr>
          <w:rFonts w:ascii="Arial" w:eastAsia="楷体_GB2312" w:hAnsi="Arial" w:cs="楷体_GB2312" w:hint="eastAsia"/>
        </w:rPr>
        <w:t>）高管薪酬激励程度值仅为</w:t>
      </w:r>
      <w:r w:rsidRPr="009F2B5C">
        <w:rPr>
          <w:rFonts w:ascii="Arial" w:eastAsia="楷体_GB2312" w:hAnsi="Arial" w:cs="Arial"/>
        </w:rPr>
        <w:t>0.05</w:t>
      </w:r>
      <w:r w:rsidRPr="009F2B5C">
        <w:rPr>
          <w:rFonts w:ascii="Arial" w:eastAsia="楷体_GB2312" w:hAnsi="Arial" w:cs="楷体_GB2312" w:hint="eastAsia"/>
        </w:rPr>
        <w:t>，排在江苏</w:t>
      </w:r>
      <w:r>
        <w:rPr>
          <w:rFonts w:ascii="Arial" w:eastAsia="楷体_GB2312" w:hAnsi="Arial" w:cs="楷体_GB2312" w:hint="eastAsia"/>
        </w:rPr>
        <w:t>地区最末，在全国的排名也靠后</w:t>
      </w:r>
      <w:r w:rsidRPr="009F2B5C">
        <w:rPr>
          <w:rFonts w:ascii="Arial" w:eastAsia="楷体_GB2312" w:hAnsi="Arial" w:cs="楷体_GB2312" w:hint="eastAsia"/>
        </w:rPr>
        <w:t>。</w:t>
      </w:r>
    </w:p>
    <w:p w:rsidR="00DA0843" w:rsidRDefault="00DA0843" w:rsidP="00370B4F">
      <w:pPr>
        <w:spacing w:beforeLines="50"/>
        <w:ind w:firstLineChars="200" w:firstLine="31680"/>
        <w:rPr>
          <w:rFonts w:ascii="Arial" w:eastAsia="楷体_GB2312" w:hAnsi="Arial" w:cs="Times New Roman"/>
        </w:rPr>
      </w:pPr>
      <w:r>
        <w:rPr>
          <w:rFonts w:ascii="Arial" w:eastAsia="楷体_GB2312" w:hAnsi="Arial" w:cs="楷体_GB2312" w:hint="eastAsia"/>
        </w:rPr>
        <w:t>联合咨询中心分析</w:t>
      </w:r>
      <w:r w:rsidRPr="003A5267">
        <w:rPr>
          <w:rFonts w:ascii="Arial" w:eastAsia="楷体_GB2312" w:hAnsi="Arial" w:cs="楷体_GB2312" w:hint="eastAsia"/>
        </w:rPr>
        <w:t>发现，</w:t>
      </w:r>
      <w:r w:rsidRPr="00C71B9D">
        <w:rPr>
          <w:rFonts w:ascii="Arial" w:eastAsia="楷体_GB2312" w:hAnsi="Arial" w:cs="Arial"/>
        </w:rPr>
        <w:t>201</w:t>
      </w:r>
      <w:r>
        <w:rPr>
          <w:rFonts w:ascii="Arial" w:eastAsia="楷体_GB2312" w:hAnsi="Arial" w:cs="Arial"/>
        </w:rPr>
        <w:t>2</w:t>
      </w:r>
      <w:r w:rsidRPr="00C71B9D">
        <w:rPr>
          <w:rFonts w:ascii="Arial" w:eastAsia="楷体_GB2312" w:hAnsi="Arial" w:cs="楷体_GB2312" w:hint="eastAsia"/>
        </w:rPr>
        <w:t>年高管激励程度前十的上市公司，相应的</w:t>
      </w:r>
      <w:r w:rsidRPr="00C71B9D">
        <w:rPr>
          <w:rFonts w:ascii="Arial" w:eastAsia="楷体_GB2312" w:hAnsi="Arial" w:cs="Arial"/>
        </w:rPr>
        <w:t>201</w:t>
      </w:r>
      <w:r>
        <w:rPr>
          <w:rFonts w:ascii="Arial" w:eastAsia="楷体_GB2312" w:hAnsi="Arial" w:cs="Arial"/>
        </w:rPr>
        <w:t>2</w:t>
      </w:r>
      <w:r w:rsidRPr="00C71B9D">
        <w:rPr>
          <w:rFonts w:ascii="Arial" w:eastAsia="楷体_GB2312" w:hAnsi="Arial" w:cs="楷体_GB2312" w:hint="eastAsia"/>
        </w:rPr>
        <w:t>年公司净利润、公司净资产收益率也较高。同时，高管薪酬激励程度越弱，其公司经营情况越落后。由于高管获得较高的薪酬激励，愿意将更多的精力、资源投入到经营和管理行为当中，从而能够为企业带来更大效益。因此，强化对高管的强激励，对于企业的经营发展有着重要的价值。</w:t>
      </w:r>
    </w:p>
    <w:p w:rsidR="00DA0843" w:rsidRPr="009A54A0" w:rsidRDefault="00DA0843" w:rsidP="008D4B5F">
      <w:pPr>
        <w:spacing w:beforeLines="50" w:line="276" w:lineRule="auto"/>
        <w:outlineLvl w:val="0"/>
        <w:rPr>
          <w:rFonts w:ascii="Arial" w:eastAsia="楷体_GB2312" w:hAnsi="Arial" w:cs="Times New Roman"/>
          <w:b/>
          <w:bCs/>
          <w:sz w:val="24"/>
          <w:szCs w:val="24"/>
        </w:rPr>
      </w:pPr>
      <w:r>
        <w:rPr>
          <w:rFonts w:ascii="Arial" w:eastAsia="楷体_GB2312" w:hAnsi="Arial" w:cs="楷体_GB2312" w:hint="eastAsia"/>
          <w:b/>
          <w:bCs/>
          <w:sz w:val="24"/>
          <w:szCs w:val="24"/>
        </w:rPr>
        <w:t>江苏上市公司高管薪酬激励的问题与建议</w:t>
      </w:r>
    </w:p>
    <w:p w:rsidR="00DA0843" w:rsidRPr="00F954B3" w:rsidRDefault="00DA0843" w:rsidP="00370B4F">
      <w:pPr>
        <w:spacing w:before="120"/>
        <w:ind w:firstLineChars="200" w:firstLine="31680"/>
        <w:rPr>
          <w:rFonts w:ascii="Arial" w:eastAsia="楷体_GB2312" w:hAnsi="Arial" w:cs="Times New Roman"/>
        </w:rPr>
      </w:pPr>
      <w:r w:rsidRPr="00F954B3">
        <w:rPr>
          <w:rFonts w:ascii="Arial" w:eastAsia="楷体_GB2312" w:hAnsi="Arial" w:cs="楷体_GB2312" w:hint="eastAsia"/>
        </w:rPr>
        <w:t>综合</w:t>
      </w:r>
      <w:r>
        <w:rPr>
          <w:rFonts w:ascii="Arial" w:eastAsia="楷体_GB2312" w:hAnsi="Arial" w:cs="楷体_GB2312" w:hint="eastAsia"/>
        </w:rPr>
        <w:t>联合咨询中心</w:t>
      </w:r>
      <w:r w:rsidRPr="00F954B3">
        <w:rPr>
          <w:rFonts w:ascii="Arial" w:eastAsia="楷体_GB2312" w:hAnsi="Arial" w:cs="楷体_GB2312" w:hint="eastAsia"/>
        </w:rPr>
        <w:t>对</w:t>
      </w:r>
      <w:r w:rsidRPr="00F954B3">
        <w:rPr>
          <w:rFonts w:ascii="Arial" w:eastAsia="楷体_GB2312" w:hAnsi="Arial" w:cs="Arial"/>
        </w:rPr>
        <w:t>2012</w:t>
      </w:r>
      <w:r w:rsidRPr="00F954B3">
        <w:rPr>
          <w:rFonts w:ascii="Arial" w:eastAsia="楷体_GB2312" w:hAnsi="Arial" w:cs="楷体_GB2312" w:hint="eastAsia"/>
        </w:rPr>
        <w:t>年</w:t>
      </w:r>
      <w:r>
        <w:rPr>
          <w:rFonts w:ascii="Arial" w:eastAsia="楷体_GB2312" w:hAnsi="Arial" w:cs="楷体_GB2312" w:hint="eastAsia"/>
        </w:rPr>
        <w:t>中国上市公司高管薪酬基本情况和激励性数据挖掘分析，联合咨询中心认为，江苏地区</w:t>
      </w:r>
      <w:r w:rsidRPr="00F954B3">
        <w:rPr>
          <w:rFonts w:ascii="Arial" w:eastAsia="楷体_GB2312" w:hAnsi="Arial" w:cs="楷体_GB2312" w:hint="eastAsia"/>
        </w:rPr>
        <w:t>上市公司高管薪酬仍然面临许多问题挑战，高管薪酬制度建设和实践操作仍然需要突破。</w:t>
      </w:r>
    </w:p>
    <w:p w:rsidR="00DA0843" w:rsidRPr="00B0113F" w:rsidRDefault="00DA0843" w:rsidP="00792317">
      <w:pPr>
        <w:spacing w:before="120"/>
        <w:outlineLvl w:val="1"/>
        <w:rPr>
          <w:rFonts w:ascii="Arial" w:eastAsia="楷体_GB2312" w:hAnsi="Arial" w:cs="Times New Roman"/>
          <w:b/>
          <w:bCs/>
          <w:sz w:val="22"/>
          <w:szCs w:val="22"/>
        </w:rPr>
      </w:pPr>
      <w:r w:rsidRPr="00B0113F">
        <w:rPr>
          <w:rFonts w:ascii="Arial" w:eastAsia="楷体_GB2312" w:hAnsi="Arial" w:cs="楷体_GB2312" w:hint="eastAsia"/>
          <w:b/>
          <w:bCs/>
          <w:sz w:val="22"/>
          <w:szCs w:val="22"/>
        </w:rPr>
        <w:t>江苏地区上市公司高管薪酬水平有待合理提升</w:t>
      </w:r>
    </w:p>
    <w:p w:rsidR="00DA0843" w:rsidRDefault="00DA0843" w:rsidP="00370B4F">
      <w:pPr>
        <w:spacing w:before="120"/>
        <w:ind w:firstLineChars="200" w:firstLine="31680"/>
        <w:rPr>
          <w:rFonts w:ascii="Arial" w:eastAsia="楷体_GB2312" w:hAnsi="Arial" w:cs="Times New Roman"/>
        </w:rPr>
      </w:pPr>
      <w:r w:rsidRPr="00F954B3">
        <w:rPr>
          <w:rFonts w:ascii="Arial" w:eastAsia="楷体_GB2312" w:hAnsi="Arial" w:cs="楷体_GB2312" w:hint="eastAsia"/>
        </w:rPr>
        <w:t>江苏地区上市公司薪酬水平逐年上升，但相较于江苏地区上市公司的发展水平来说，高管薪酬的激励程度较低</w:t>
      </w:r>
      <w:r>
        <w:rPr>
          <w:rFonts w:ascii="Arial" w:eastAsia="楷体_GB2312" w:hAnsi="Arial" w:cs="楷体_GB2312" w:hint="eastAsia"/>
        </w:rPr>
        <w:t>，</w:t>
      </w:r>
      <w:r w:rsidRPr="00FD0618">
        <w:rPr>
          <w:rFonts w:ascii="Arial" w:eastAsia="楷体_GB2312" w:hAnsi="Arial" w:cs="楷体_GB2312" w:hint="eastAsia"/>
        </w:rPr>
        <w:t>上市公司高管薪酬水平还有待合理提升，其原因既在于国际之间行业竞争的激烈性，又在于高管职位高薪与高风险并存的特殊性。</w:t>
      </w:r>
    </w:p>
    <w:p w:rsidR="00DA0843" w:rsidRPr="00F954B3" w:rsidRDefault="00DA0843" w:rsidP="00370B4F">
      <w:pPr>
        <w:spacing w:before="120"/>
        <w:ind w:firstLineChars="200" w:firstLine="31680"/>
        <w:rPr>
          <w:rFonts w:ascii="Arial" w:eastAsia="楷体_GB2312" w:hAnsi="Arial" w:cs="Times New Roman"/>
        </w:rPr>
      </w:pPr>
      <w:r w:rsidRPr="00F954B3">
        <w:rPr>
          <w:rFonts w:ascii="Arial" w:eastAsia="楷体_GB2312" w:hAnsi="Arial" w:cs="楷体_GB2312" w:hint="eastAsia"/>
        </w:rPr>
        <w:t>就国际之间行业竞争的</w:t>
      </w:r>
      <w:r>
        <w:rPr>
          <w:rFonts w:ascii="Arial" w:eastAsia="楷体_GB2312" w:hAnsi="Arial" w:cs="楷体_GB2312" w:hint="eastAsia"/>
        </w:rPr>
        <w:t>激烈</w:t>
      </w:r>
      <w:r w:rsidRPr="00F954B3">
        <w:rPr>
          <w:rFonts w:ascii="Arial" w:eastAsia="楷体_GB2312" w:hAnsi="Arial" w:cs="楷体_GB2312" w:hint="eastAsia"/>
        </w:rPr>
        <w:t>性角度而言，上市公司高管在一些市场化程度较高的行业中是极为稀缺的资源，企业发展业绩的竞争到最后实际演变成了高端人才的争夺战。中国上市公司如今面临着与国际竞争的巨大压力，但国内上市公司所能提供的薪酬水平在同行业的竞争中往往远不如外企</w:t>
      </w:r>
      <w:r>
        <w:rPr>
          <w:rFonts w:ascii="Arial" w:eastAsia="楷体_GB2312" w:hAnsi="Arial" w:cs="楷体_GB2312" w:hint="eastAsia"/>
        </w:rPr>
        <w:t>，</w:t>
      </w:r>
      <w:r w:rsidRPr="00F954B3">
        <w:rPr>
          <w:rFonts w:ascii="Arial" w:eastAsia="楷体_GB2312" w:hAnsi="Arial" w:cs="楷体_GB2312" w:hint="eastAsia"/>
        </w:rPr>
        <w:t>与国际公司薪酬激励水平的巨大差距使得人才的吸引和保留成为举步维艰的事，企业时常因薪资的问题而面临优秀人才的流失。</w:t>
      </w:r>
    </w:p>
    <w:p w:rsidR="00DA0843" w:rsidRPr="00F954B3" w:rsidRDefault="00DA0843" w:rsidP="00370B4F">
      <w:pPr>
        <w:spacing w:before="120"/>
        <w:ind w:firstLineChars="200" w:firstLine="31680"/>
        <w:rPr>
          <w:rFonts w:ascii="Arial" w:eastAsia="楷体_GB2312" w:hAnsi="Arial" w:cs="Times New Roman"/>
        </w:rPr>
      </w:pPr>
      <w:r w:rsidRPr="00F954B3">
        <w:rPr>
          <w:rFonts w:ascii="Arial" w:eastAsia="楷体_GB2312" w:hAnsi="Arial" w:cs="楷体_GB2312" w:hint="eastAsia"/>
        </w:rPr>
        <w:t>就上市公司高管职位本身的特殊性而言，高管所享受的较高薪酬待遇与其所需承担的高风险是共存的。上市公司在对高管人才进行激励时，并非只奖不罚，而是正向激励与负向激励并举的，高管人才不只享受高薪资待遇，相比公务员等其他职位，也承担高风险。因此，高管薪酬的水平与高管能创造的价值是相对应的，高管薪酬处于较高水平恰恰说明了高管为公司创造了更多的价值。</w:t>
      </w:r>
    </w:p>
    <w:p w:rsidR="00DA0843" w:rsidRPr="00F954B3" w:rsidRDefault="00DA0843" w:rsidP="00370B4F">
      <w:pPr>
        <w:spacing w:before="120"/>
        <w:ind w:firstLineChars="200" w:firstLine="31680"/>
        <w:rPr>
          <w:rFonts w:ascii="Arial" w:eastAsia="楷体_GB2312" w:hAnsi="Arial" w:cs="Times New Roman"/>
        </w:rPr>
      </w:pPr>
      <w:r w:rsidRPr="00F954B3">
        <w:rPr>
          <w:rFonts w:ascii="Arial" w:eastAsia="楷体_GB2312" w:hAnsi="Arial" w:cs="楷体_GB2312" w:hint="eastAsia"/>
        </w:rPr>
        <w:t>当前，人才已经成为企业发展的关键要素，尤其对于高级管理人才。企业要获得发展，必须要保留具有核心价值的高级管理人员，加强对高管人员的激励</w:t>
      </w:r>
      <w:r>
        <w:rPr>
          <w:rFonts w:ascii="Arial" w:eastAsia="楷体_GB2312" w:hAnsi="Arial" w:cs="楷体_GB2312" w:hint="eastAsia"/>
        </w:rPr>
        <w:t>水平</w:t>
      </w:r>
      <w:r w:rsidRPr="00F954B3">
        <w:rPr>
          <w:rFonts w:ascii="Arial" w:eastAsia="楷体_GB2312" w:hAnsi="Arial" w:cs="楷体_GB2312" w:hint="eastAsia"/>
        </w:rPr>
        <w:t>成为必要的手段。</w:t>
      </w:r>
    </w:p>
    <w:p w:rsidR="00DA0843" w:rsidRPr="00792317" w:rsidRDefault="00DA0843" w:rsidP="00792317">
      <w:pPr>
        <w:spacing w:before="120"/>
        <w:outlineLvl w:val="1"/>
        <w:rPr>
          <w:rFonts w:ascii="Arial" w:eastAsia="楷体_GB2312" w:hAnsi="Arial" w:cs="Times New Roman"/>
          <w:b/>
          <w:bCs/>
          <w:sz w:val="22"/>
          <w:szCs w:val="22"/>
        </w:rPr>
      </w:pPr>
      <w:r w:rsidRPr="00792317">
        <w:rPr>
          <w:rFonts w:ascii="Arial" w:eastAsia="楷体_GB2312" w:hAnsi="Arial" w:cs="楷体_GB2312" w:hint="eastAsia"/>
          <w:b/>
          <w:bCs/>
          <w:sz w:val="22"/>
          <w:szCs w:val="22"/>
        </w:rPr>
        <w:t>江苏地区多数上市公司高管薪酬结构仍未健全</w:t>
      </w:r>
    </w:p>
    <w:p w:rsidR="00DA0843" w:rsidRPr="00F954B3" w:rsidRDefault="00DA0843" w:rsidP="00370B4F">
      <w:pPr>
        <w:spacing w:before="120"/>
        <w:ind w:firstLineChars="200" w:firstLine="31680"/>
        <w:rPr>
          <w:rFonts w:ascii="Arial" w:eastAsia="楷体_GB2312" w:hAnsi="Arial" w:cs="Times New Roman"/>
        </w:rPr>
      </w:pPr>
      <w:r w:rsidRPr="00F954B3">
        <w:rPr>
          <w:rFonts w:ascii="Arial" w:eastAsia="楷体_GB2312" w:hAnsi="Arial" w:cs="楷体_GB2312" w:hint="eastAsia"/>
        </w:rPr>
        <w:t>对上市公司来说，协调管理层与股东的利益是一项根本性的挑战，而健全的高管薪酬结构是使两者利益密切联系并趋于一致的至关重要的手段。目前</w:t>
      </w:r>
      <w:r>
        <w:rPr>
          <w:rFonts w:ascii="Arial" w:eastAsia="楷体_GB2312" w:hAnsi="Arial" w:cs="楷体_GB2312" w:hint="eastAsia"/>
        </w:rPr>
        <w:t>江苏</w:t>
      </w:r>
      <w:r w:rsidRPr="00F954B3">
        <w:rPr>
          <w:rFonts w:ascii="Arial" w:eastAsia="楷体_GB2312" w:hAnsi="Arial" w:cs="楷体_GB2312" w:hint="eastAsia"/>
        </w:rPr>
        <w:t>上市公司高管薪酬结构和体制仍然是固定部分以及企业短期效益相关部分占的比重大，而风险报酬的比重很小。截止到</w:t>
      </w:r>
      <w:r w:rsidRPr="00F954B3">
        <w:rPr>
          <w:rFonts w:ascii="Arial" w:eastAsia="楷体_GB2312" w:hAnsi="Arial" w:cs="Arial"/>
        </w:rPr>
        <w:t>2013</w:t>
      </w:r>
      <w:r w:rsidRPr="00F954B3">
        <w:rPr>
          <w:rFonts w:ascii="Arial" w:eastAsia="楷体_GB2312" w:hAnsi="Arial" w:cs="楷体_GB2312" w:hint="eastAsia"/>
        </w:rPr>
        <w:t>年</w:t>
      </w:r>
      <w:r w:rsidRPr="00F954B3">
        <w:rPr>
          <w:rFonts w:ascii="Arial" w:eastAsia="楷体_GB2312" w:hAnsi="Arial" w:cs="Arial"/>
        </w:rPr>
        <w:t>5</w:t>
      </w:r>
      <w:r w:rsidRPr="00F954B3">
        <w:rPr>
          <w:rFonts w:ascii="Arial" w:eastAsia="楷体_GB2312" w:hAnsi="Arial" w:cs="楷体_GB2312" w:hint="eastAsia"/>
        </w:rPr>
        <w:t>月</w:t>
      </w:r>
      <w:r>
        <w:rPr>
          <w:rFonts w:ascii="Arial" w:eastAsia="楷体_GB2312" w:hAnsi="Arial" w:cs="楷体_GB2312" w:hint="eastAsia"/>
        </w:rPr>
        <w:t>，沪深两市仅</w:t>
      </w:r>
      <w:r>
        <w:rPr>
          <w:rFonts w:ascii="Arial" w:eastAsia="楷体_GB2312" w:hAnsi="Arial" w:cs="Arial"/>
        </w:rPr>
        <w:t>18.8%</w:t>
      </w:r>
      <w:r>
        <w:rPr>
          <w:rFonts w:ascii="Arial" w:eastAsia="楷体_GB2312" w:hAnsi="Arial" w:cs="楷体_GB2312" w:hint="eastAsia"/>
        </w:rPr>
        <w:t>的上市公司推行过股权激励方案，江苏地区正在实施股权激励方案的上市公司仅占</w:t>
      </w:r>
      <w:r>
        <w:rPr>
          <w:rFonts w:ascii="Arial" w:eastAsia="楷体_GB2312" w:hAnsi="Arial" w:cs="Arial"/>
        </w:rPr>
        <w:t>11.9%</w:t>
      </w:r>
      <w:r w:rsidRPr="00F954B3">
        <w:rPr>
          <w:rFonts w:ascii="Arial" w:eastAsia="楷体_GB2312" w:hAnsi="Arial" w:cs="楷体_GB2312" w:hint="eastAsia"/>
        </w:rPr>
        <w:t>，这一比例相较国外其他地区而言相去甚远。在理想的高管薪酬结构中，固定薪酬、短期激励、长期激励的比例为</w:t>
      </w:r>
      <w:r w:rsidRPr="00F954B3">
        <w:rPr>
          <w:rFonts w:ascii="Arial" w:eastAsia="楷体_GB2312" w:hAnsi="Arial" w:cs="Arial"/>
        </w:rPr>
        <w:t>1</w:t>
      </w:r>
      <w:r w:rsidRPr="00F954B3">
        <w:rPr>
          <w:rFonts w:ascii="Arial" w:eastAsia="楷体_GB2312" w:hAnsi="Arial" w:cs="楷体_GB2312" w:hint="eastAsia"/>
        </w:rPr>
        <w:t>：</w:t>
      </w:r>
      <w:r w:rsidRPr="00F954B3">
        <w:rPr>
          <w:rFonts w:ascii="Arial" w:eastAsia="楷体_GB2312" w:hAnsi="Arial" w:cs="Arial"/>
        </w:rPr>
        <w:t>3</w:t>
      </w:r>
      <w:r w:rsidRPr="00F954B3">
        <w:rPr>
          <w:rFonts w:ascii="Arial" w:eastAsia="楷体_GB2312" w:hAnsi="Arial" w:cs="楷体_GB2312" w:hint="eastAsia"/>
        </w:rPr>
        <w:t>：</w:t>
      </w:r>
      <w:r w:rsidRPr="00F954B3">
        <w:rPr>
          <w:rFonts w:ascii="Arial" w:eastAsia="楷体_GB2312" w:hAnsi="Arial" w:cs="Arial"/>
        </w:rPr>
        <w:t>6</w:t>
      </w:r>
      <w:r w:rsidRPr="00F954B3">
        <w:rPr>
          <w:rFonts w:ascii="Arial" w:eastAsia="楷体_GB2312" w:hAnsi="Arial" w:cs="楷体_GB2312" w:hint="eastAsia"/>
        </w:rPr>
        <w:t>，这点在欧美、香港等地上市的公司基本形成了共识，高管薪酬的风险报酬比例较高，高管薪酬基本都是</w:t>
      </w:r>
      <w:r w:rsidRPr="00F954B3">
        <w:rPr>
          <w:rFonts w:ascii="Arial" w:eastAsia="楷体_GB2312" w:hAnsi="Arial" w:cs="Arial"/>
        </w:rPr>
        <w:t>“</w:t>
      </w:r>
      <w:r w:rsidRPr="00F954B3">
        <w:rPr>
          <w:rFonts w:ascii="Arial" w:eastAsia="楷体_GB2312" w:hAnsi="Arial" w:cs="楷体_GB2312" w:hint="eastAsia"/>
        </w:rPr>
        <w:t>固定薪酬</w:t>
      </w:r>
      <w:r w:rsidRPr="00F954B3">
        <w:rPr>
          <w:rFonts w:ascii="Arial" w:eastAsia="楷体_GB2312" w:hAnsi="Arial" w:cs="Arial"/>
        </w:rPr>
        <w:t>+</w:t>
      </w:r>
      <w:r w:rsidRPr="00F954B3">
        <w:rPr>
          <w:rFonts w:ascii="Arial" w:eastAsia="楷体_GB2312" w:hAnsi="Arial" w:cs="楷体_GB2312" w:hint="eastAsia"/>
        </w:rPr>
        <w:t>短期激励</w:t>
      </w:r>
      <w:r w:rsidRPr="00F954B3">
        <w:rPr>
          <w:rFonts w:ascii="Arial" w:eastAsia="楷体_GB2312" w:hAnsi="Arial" w:cs="Arial"/>
        </w:rPr>
        <w:t>+</w:t>
      </w:r>
      <w:r w:rsidRPr="00F954B3">
        <w:rPr>
          <w:rFonts w:ascii="Arial" w:eastAsia="楷体_GB2312" w:hAnsi="Arial" w:cs="楷体_GB2312" w:hint="eastAsia"/>
        </w:rPr>
        <w:t>长期激励</w:t>
      </w:r>
      <w:r w:rsidRPr="00F954B3">
        <w:rPr>
          <w:rFonts w:ascii="Arial" w:eastAsia="楷体_GB2312" w:hAnsi="Arial" w:cs="Arial"/>
        </w:rPr>
        <w:t>”</w:t>
      </w:r>
      <w:r w:rsidRPr="00F954B3">
        <w:rPr>
          <w:rFonts w:ascii="Arial" w:eastAsia="楷体_GB2312" w:hAnsi="Arial" w:cs="楷体_GB2312" w:hint="eastAsia"/>
        </w:rPr>
        <w:t>的组成结构，这就提高了与公司业绩的关联度。美国、加拿大</w:t>
      </w:r>
      <w:r w:rsidRPr="00F954B3">
        <w:rPr>
          <w:rFonts w:ascii="Arial" w:eastAsia="楷体_GB2312" w:hAnsi="Arial" w:cs="Arial"/>
        </w:rPr>
        <w:t>95%</w:t>
      </w:r>
      <w:r w:rsidRPr="00F954B3">
        <w:rPr>
          <w:rFonts w:ascii="Arial" w:eastAsia="楷体_GB2312" w:hAnsi="Arial" w:cs="楷体_GB2312" w:hint="eastAsia"/>
        </w:rPr>
        <w:t>以上的上市公司都实行了股权激励计划，欧洲多数发达国家推行股权激励计划的上市公司比例超过</w:t>
      </w:r>
      <w:r w:rsidRPr="00F954B3">
        <w:rPr>
          <w:rFonts w:ascii="Arial" w:eastAsia="楷体_GB2312" w:hAnsi="Arial" w:cs="Arial"/>
        </w:rPr>
        <w:t>80%</w:t>
      </w:r>
      <w:r w:rsidRPr="00F954B3">
        <w:rPr>
          <w:rFonts w:ascii="Arial" w:eastAsia="楷体_GB2312" w:hAnsi="Arial" w:cs="楷体_GB2312" w:hint="eastAsia"/>
        </w:rPr>
        <w:t>，即使在亚洲的印度上市公司推行股权激励也达到</w:t>
      </w:r>
      <w:r w:rsidRPr="00F954B3">
        <w:rPr>
          <w:rFonts w:ascii="Arial" w:eastAsia="楷体_GB2312" w:hAnsi="Arial" w:cs="Arial"/>
        </w:rPr>
        <w:t>30%</w:t>
      </w:r>
      <w:r w:rsidRPr="00F954B3">
        <w:rPr>
          <w:rFonts w:ascii="Arial" w:eastAsia="楷体_GB2312" w:hAnsi="Arial" w:cs="楷体_GB2312" w:hint="eastAsia"/>
        </w:rPr>
        <w:t>。</w:t>
      </w:r>
      <w:r w:rsidRPr="00CA2643">
        <w:rPr>
          <w:rFonts w:ascii="Arial" w:eastAsia="楷体_GB2312" w:hAnsi="Arial" w:cs="楷体_GB2312" w:hint="eastAsia"/>
        </w:rPr>
        <w:t>在长期激励手段已成为通行惯例的市场环境下，缺少长期激励、不健全的薪酬结构对上市公司的治理和长久发展无疑是不利的。</w:t>
      </w:r>
    </w:p>
    <w:p w:rsidR="00DA0843" w:rsidRPr="00B0113F" w:rsidRDefault="00DA0843" w:rsidP="008D4B5F">
      <w:pPr>
        <w:spacing w:beforeLines="50"/>
        <w:jc w:val="left"/>
        <w:outlineLvl w:val="1"/>
        <w:rPr>
          <w:rFonts w:ascii="Arial" w:eastAsia="楷体_GB2312" w:hAnsi="Arial" w:cs="Times New Roman"/>
          <w:b/>
          <w:bCs/>
          <w:sz w:val="22"/>
          <w:szCs w:val="22"/>
        </w:rPr>
      </w:pPr>
      <w:r w:rsidRPr="00B0113F">
        <w:rPr>
          <w:rFonts w:ascii="Arial" w:eastAsia="楷体_GB2312" w:hAnsi="Arial" w:cs="楷体_GB2312" w:hint="eastAsia"/>
          <w:b/>
          <w:bCs/>
          <w:sz w:val="22"/>
          <w:szCs w:val="22"/>
        </w:rPr>
        <w:t>股权激励是江苏上市公司高管薪酬激励改革的突破口</w:t>
      </w:r>
    </w:p>
    <w:p w:rsidR="00DA0843" w:rsidRDefault="00DA0843" w:rsidP="00370B4F">
      <w:pPr>
        <w:spacing w:before="120"/>
        <w:ind w:firstLineChars="200" w:firstLine="31680"/>
        <w:rPr>
          <w:rFonts w:ascii="Arial" w:eastAsia="楷体_GB2312" w:hAnsi="Arial" w:cs="Times New Roman"/>
        </w:rPr>
      </w:pPr>
      <w:r w:rsidRPr="00CA2643">
        <w:rPr>
          <w:rFonts w:ascii="Arial" w:eastAsia="楷体_GB2312" w:hAnsi="Arial" w:cs="楷体_GB2312" w:hint="eastAsia"/>
        </w:rPr>
        <w:t>薪酬激励是上市公司治理的重要内容，</w:t>
      </w:r>
      <w:r>
        <w:rPr>
          <w:rFonts w:ascii="Arial" w:eastAsia="楷体_GB2312" w:hAnsi="Arial" w:cs="楷体_GB2312" w:hint="eastAsia"/>
        </w:rPr>
        <w:t>要</w:t>
      </w:r>
      <w:r w:rsidRPr="0084598C">
        <w:rPr>
          <w:rFonts w:ascii="Arial" w:eastAsia="楷体_GB2312" w:hAnsi="Arial" w:cs="楷体_GB2312" w:hint="eastAsia"/>
        </w:rPr>
        <w:t>提升</w:t>
      </w:r>
      <w:r>
        <w:rPr>
          <w:rFonts w:ascii="Arial" w:eastAsia="楷体_GB2312" w:hAnsi="Arial" w:cs="楷体_GB2312" w:hint="eastAsia"/>
        </w:rPr>
        <w:t>江苏</w:t>
      </w:r>
      <w:r w:rsidRPr="0084598C">
        <w:rPr>
          <w:rFonts w:ascii="Arial" w:eastAsia="楷体_GB2312" w:hAnsi="Arial" w:cs="楷体_GB2312" w:hint="eastAsia"/>
        </w:rPr>
        <w:t>上市公司的</w:t>
      </w:r>
      <w:r>
        <w:rPr>
          <w:rFonts w:ascii="Arial" w:eastAsia="楷体_GB2312" w:hAnsi="Arial" w:cs="楷体_GB2312" w:hint="eastAsia"/>
        </w:rPr>
        <w:t>治理水平以及</w:t>
      </w:r>
      <w:r w:rsidRPr="0084598C">
        <w:rPr>
          <w:rFonts w:ascii="Arial" w:eastAsia="楷体_GB2312" w:hAnsi="Arial" w:cs="楷体_GB2312" w:hint="eastAsia"/>
        </w:rPr>
        <w:t>高管队伍</w:t>
      </w:r>
      <w:r>
        <w:rPr>
          <w:rFonts w:ascii="Arial" w:eastAsia="楷体_GB2312" w:hAnsi="Arial" w:cs="楷体_GB2312" w:hint="eastAsia"/>
        </w:rPr>
        <w:t>的</w:t>
      </w:r>
      <w:r w:rsidRPr="0084598C">
        <w:rPr>
          <w:rFonts w:ascii="Arial" w:eastAsia="楷体_GB2312" w:hAnsi="Arial" w:cs="楷体_GB2312" w:hint="eastAsia"/>
        </w:rPr>
        <w:t>素质和能力，保持</w:t>
      </w:r>
      <w:r>
        <w:rPr>
          <w:rFonts w:ascii="Arial" w:eastAsia="楷体_GB2312" w:hAnsi="Arial" w:cs="楷体_GB2312" w:hint="eastAsia"/>
        </w:rPr>
        <w:t>上市公司和</w:t>
      </w:r>
      <w:r w:rsidRPr="0084598C">
        <w:rPr>
          <w:rFonts w:ascii="Arial" w:eastAsia="楷体_GB2312" w:hAnsi="Arial" w:cs="楷体_GB2312" w:hint="eastAsia"/>
        </w:rPr>
        <w:t>高管队伍在全国乃至全球的竞争力，</w:t>
      </w:r>
      <w:r>
        <w:rPr>
          <w:rFonts w:ascii="Arial" w:eastAsia="楷体_GB2312" w:hAnsi="Arial" w:cs="楷体_GB2312" w:hint="eastAsia"/>
        </w:rPr>
        <w:t>江苏</w:t>
      </w:r>
      <w:r w:rsidRPr="0084598C">
        <w:rPr>
          <w:rFonts w:ascii="Arial" w:eastAsia="楷体_GB2312" w:hAnsi="Arial" w:cs="楷体_GB2312" w:hint="eastAsia"/>
        </w:rPr>
        <w:t>上市公司</w:t>
      </w:r>
      <w:r>
        <w:rPr>
          <w:rFonts w:ascii="Arial" w:eastAsia="楷体_GB2312" w:hAnsi="Arial" w:cs="楷体_GB2312" w:hint="eastAsia"/>
        </w:rPr>
        <w:t>的</w:t>
      </w:r>
      <w:r w:rsidRPr="0084598C">
        <w:rPr>
          <w:rFonts w:ascii="Arial" w:eastAsia="楷体_GB2312" w:hAnsi="Arial" w:cs="楷体_GB2312" w:hint="eastAsia"/>
        </w:rPr>
        <w:t>高管薪酬</w:t>
      </w:r>
      <w:r>
        <w:rPr>
          <w:rFonts w:ascii="Arial" w:eastAsia="楷体_GB2312" w:hAnsi="Arial" w:cs="楷体_GB2312" w:hint="eastAsia"/>
        </w:rPr>
        <w:t>就需要有所</w:t>
      </w:r>
      <w:r w:rsidRPr="0084598C">
        <w:rPr>
          <w:rFonts w:ascii="Arial" w:eastAsia="楷体_GB2312" w:hAnsi="Arial" w:cs="楷体_GB2312" w:hint="eastAsia"/>
        </w:rPr>
        <w:t>平稳增加。这样的改革既要与业绩挂钩，又要与市场挂钩，目前，整体社会环境对上市公司高管的薪酬诟病较多，主要集中于是否与</w:t>
      </w:r>
      <w:r>
        <w:rPr>
          <w:rFonts w:ascii="Arial" w:eastAsia="楷体_GB2312" w:hAnsi="Arial" w:cs="楷体_GB2312" w:hint="eastAsia"/>
        </w:rPr>
        <w:t>价值</w:t>
      </w:r>
      <w:r w:rsidRPr="0084598C">
        <w:rPr>
          <w:rFonts w:ascii="Arial" w:eastAsia="楷体_GB2312" w:hAnsi="Arial" w:cs="楷体_GB2312" w:hint="eastAsia"/>
        </w:rPr>
        <w:t>相称，是否与职工收入平衡。因此单纯从工资和奖金方面进行直接提升难度较大。</w:t>
      </w:r>
    </w:p>
    <w:p w:rsidR="00DA0843" w:rsidRPr="0084598C" w:rsidRDefault="00DA0843" w:rsidP="00370B4F">
      <w:pPr>
        <w:spacing w:before="120"/>
        <w:ind w:firstLineChars="200" w:firstLine="31680"/>
        <w:rPr>
          <w:rFonts w:ascii="Arial" w:eastAsia="楷体_GB2312" w:hAnsi="Arial" w:cs="Times New Roman"/>
        </w:rPr>
      </w:pPr>
      <w:r>
        <w:rPr>
          <w:rFonts w:ascii="Arial" w:eastAsia="楷体_GB2312" w:hAnsi="Arial" w:cs="楷体_GB2312" w:hint="eastAsia"/>
        </w:rPr>
        <w:t>而股权激励是一种有效的风险报酬实现机制。通过建立股权激励机制，高管根据公司和个人长期绩效而在未来某一时间获得薪酬。它能够建立起企业长效激励机制，改善薪酬结构体系，有效吸引、保留和激励企业高管；同时引导高管追求公司长期目标的实现，持续为股东创造价值。</w:t>
      </w:r>
      <w:r w:rsidRPr="00B81EC3">
        <w:rPr>
          <w:rFonts w:ascii="Arial" w:eastAsia="楷体_GB2312" w:hAnsi="Arial" w:cs="楷体_GB2312" w:hint="eastAsia"/>
        </w:rPr>
        <w:t>若上市公司能通过合理使用股权激励等长期激励手段健全其高管薪酬结构，就有利于引导上市公司管理层关心公司的长期发展，减少高管人员一味追逐短期利益的投机行为，而是促使高管人员关心公司和股东利益的长期发展。</w:t>
      </w:r>
      <w:r>
        <w:rPr>
          <w:rFonts w:ascii="Arial" w:eastAsia="楷体_GB2312" w:hAnsi="Arial" w:cs="楷体_GB2312" w:hint="eastAsia"/>
        </w:rPr>
        <w:t>综上来看，</w:t>
      </w:r>
      <w:r w:rsidRPr="0084598C">
        <w:rPr>
          <w:rFonts w:ascii="Arial" w:eastAsia="楷体_GB2312" w:hAnsi="Arial" w:cs="楷体_GB2312" w:hint="eastAsia"/>
        </w:rPr>
        <w:t>股权激励与企业的中长期发展挂钩，业绩指标具体明确，并通过股价反映，市场化程度较高</w:t>
      </w:r>
      <w:r>
        <w:rPr>
          <w:rFonts w:ascii="Arial" w:eastAsia="楷体_GB2312" w:hAnsi="Arial" w:cs="楷体_GB2312" w:hint="eastAsia"/>
        </w:rPr>
        <w:t>。</w:t>
      </w:r>
      <w:r w:rsidRPr="0084598C">
        <w:rPr>
          <w:rFonts w:ascii="Arial" w:eastAsia="楷体_GB2312" w:hAnsi="Arial" w:cs="楷体_GB2312" w:hint="eastAsia"/>
        </w:rPr>
        <w:t>因此</w:t>
      </w:r>
      <w:r>
        <w:rPr>
          <w:rFonts w:ascii="Arial" w:eastAsia="楷体_GB2312" w:hAnsi="Arial" w:cs="楷体_GB2312" w:hint="eastAsia"/>
        </w:rPr>
        <w:t>，</w:t>
      </w:r>
      <w:r w:rsidRPr="0084598C">
        <w:rPr>
          <w:rFonts w:ascii="Arial" w:eastAsia="楷体_GB2312" w:hAnsi="Arial" w:cs="楷体_GB2312" w:hint="eastAsia"/>
        </w:rPr>
        <w:t>股权激励</w:t>
      </w:r>
      <w:r>
        <w:rPr>
          <w:rFonts w:ascii="Arial" w:eastAsia="楷体_GB2312" w:hAnsi="Arial" w:cs="楷体_GB2312" w:hint="eastAsia"/>
        </w:rPr>
        <w:t>将会成为江苏上市公司</w:t>
      </w:r>
      <w:r w:rsidRPr="0084598C">
        <w:rPr>
          <w:rFonts w:ascii="Arial" w:eastAsia="楷体_GB2312" w:hAnsi="Arial" w:cs="楷体_GB2312" w:hint="eastAsia"/>
        </w:rPr>
        <w:t>薪酬改革的</w:t>
      </w:r>
      <w:r>
        <w:rPr>
          <w:rFonts w:ascii="Arial" w:eastAsia="楷体_GB2312" w:hAnsi="Arial" w:cs="楷体_GB2312" w:hint="eastAsia"/>
        </w:rPr>
        <w:t>重要</w:t>
      </w:r>
      <w:r w:rsidRPr="0084598C">
        <w:rPr>
          <w:rFonts w:ascii="Arial" w:eastAsia="楷体_GB2312" w:hAnsi="Arial" w:cs="楷体_GB2312" w:hint="eastAsia"/>
        </w:rPr>
        <w:t>突破口。</w:t>
      </w:r>
    </w:p>
    <w:p w:rsidR="00DA0843" w:rsidRPr="002E7113" w:rsidRDefault="00DA0843" w:rsidP="002E7113">
      <w:pPr>
        <w:spacing w:before="120"/>
        <w:rPr>
          <w:rFonts w:ascii="Arial" w:eastAsia="楷体_GB2312" w:hAnsi="Arial" w:cs="Times New Roman"/>
        </w:rPr>
      </w:pPr>
    </w:p>
    <w:sectPr w:rsidR="00DA0843" w:rsidRPr="002E7113" w:rsidSect="00F12C3D">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843" w:rsidRDefault="00DA0843" w:rsidP="00BD4959">
      <w:pPr>
        <w:rPr>
          <w:rFonts w:cs="Times New Roman"/>
        </w:rPr>
      </w:pPr>
      <w:r>
        <w:rPr>
          <w:rFonts w:cs="Times New Roman"/>
        </w:rPr>
        <w:separator/>
      </w:r>
    </w:p>
  </w:endnote>
  <w:endnote w:type="continuationSeparator" w:id="0">
    <w:p w:rsidR="00DA0843" w:rsidRDefault="00DA0843" w:rsidP="00BD495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楷体_GB2312">
    <w:altName w:val="微软雅黑"/>
    <w:panose1 w:val="00000000000000000000"/>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843" w:rsidRDefault="00DA0843" w:rsidP="00BD4959">
      <w:pPr>
        <w:rPr>
          <w:rFonts w:cs="Times New Roman"/>
        </w:rPr>
      </w:pPr>
      <w:r>
        <w:rPr>
          <w:rFonts w:cs="Times New Roman"/>
        </w:rPr>
        <w:separator/>
      </w:r>
    </w:p>
  </w:footnote>
  <w:footnote w:type="continuationSeparator" w:id="0">
    <w:p w:rsidR="00DA0843" w:rsidRDefault="00DA0843" w:rsidP="00BD4959">
      <w:pPr>
        <w:rPr>
          <w:rFonts w:cs="Times New Roman"/>
        </w:rPr>
      </w:pPr>
      <w:r>
        <w:rPr>
          <w:rFonts w:cs="Times New Roman"/>
        </w:rPr>
        <w:continuationSeparator/>
      </w:r>
    </w:p>
  </w:footnote>
  <w:footnote w:id="1">
    <w:p w:rsidR="00DA0843" w:rsidRDefault="00DA0843" w:rsidP="008F3C6B">
      <w:pPr>
        <w:pStyle w:val="FootnoteText"/>
        <w:rPr>
          <w:rFonts w:cs="Times New Roman"/>
        </w:rPr>
      </w:pPr>
      <w:r w:rsidRPr="00D83B55">
        <w:rPr>
          <w:rStyle w:val="FootnoteReference"/>
          <w:rFonts w:ascii="Arial" w:eastAsia="楷体_GB2312" w:hAnsi="Arial" w:cs="Times New Roman"/>
        </w:rPr>
        <w:footnoteRef/>
      </w:r>
      <w:r w:rsidRPr="00D83B55">
        <w:rPr>
          <w:rFonts w:ascii="Arial" w:eastAsia="楷体_GB2312" w:hAnsi="Arial" w:cs="楷体_GB2312" w:hint="eastAsia"/>
        </w:rPr>
        <w:t>本报告中高管薪酬是以年报披露的江苏省各公司</w:t>
      </w:r>
      <w:r w:rsidRPr="00D83B55">
        <w:rPr>
          <w:rFonts w:ascii="Arial" w:eastAsia="楷体_GB2312" w:hAnsi="Arial" w:cs="Arial"/>
        </w:rPr>
        <w:t>CEO</w:t>
      </w:r>
      <w:r w:rsidRPr="00D83B55">
        <w:rPr>
          <w:rFonts w:ascii="Arial" w:eastAsia="楷体_GB2312" w:hAnsi="Arial" w:cs="楷体_GB2312" w:hint="eastAsia"/>
        </w:rPr>
        <w:t>、总经理、行长职位年薪代表高管薪酬</w:t>
      </w:r>
    </w:p>
  </w:footnote>
  <w:footnote w:id="2">
    <w:p w:rsidR="00DA0843" w:rsidRDefault="00DA0843" w:rsidP="00844342">
      <w:pPr>
        <w:pStyle w:val="FootnoteText"/>
        <w:rPr>
          <w:rFonts w:cs="Times New Roman"/>
        </w:rPr>
      </w:pPr>
      <w:r w:rsidRPr="009D775C">
        <w:rPr>
          <w:rStyle w:val="FootnoteReference"/>
          <w:rFonts w:ascii="楷体_GB2312" w:eastAsia="楷体_GB2312" w:cs="Times New Roman"/>
        </w:rPr>
        <w:footnoteRef/>
      </w:r>
      <w:r w:rsidRPr="009D775C">
        <w:rPr>
          <w:rFonts w:ascii="楷体_GB2312" w:eastAsia="楷体_GB2312" w:cs="楷体_GB2312"/>
        </w:rPr>
        <w:t xml:space="preserve"> </w:t>
      </w:r>
      <w:r w:rsidRPr="009D775C">
        <w:rPr>
          <w:rFonts w:ascii="楷体_GB2312" w:eastAsia="楷体_GB2312" w:cs="楷体_GB2312" w:hint="eastAsia"/>
        </w:rPr>
        <w:t>国有</w:t>
      </w:r>
      <w:r>
        <w:rPr>
          <w:rFonts w:ascii="楷体_GB2312" w:eastAsia="楷体_GB2312" w:cs="楷体_GB2312" w:hint="eastAsia"/>
        </w:rPr>
        <w:t>、非国有企业定义按大股东的经济性质确定。</w:t>
      </w:r>
    </w:p>
  </w:footnote>
  <w:footnote w:id="3">
    <w:p w:rsidR="00DA0843" w:rsidRDefault="00DA0843" w:rsidP="00844342">
      <w:pPr>
        <w:pStyle w:val="FootnoteText"/>
        <w:rPr>
          <w:rFonts w:cs="Times New Roman"/>
        </w:rPr>
      </w:pPr>
      <w:r w:rsidRPr="00CE17A5">
        <w:rPr>
          <w:rStyle w:val="FootnoteReference"/>
          <w:rFonts w:ascii="Arial" w:eastAsia="楷体_GB2312" w:hAnsi="Arial" w:cs="Times New Roman"/>
        </w:rPr>
        <w:footnoteRef/>
      </w:r>
      <w:r w:rsidRPr="00CE17A5">
        <w:rPr>
          <w:rFonts w:ascii="Arial" w:eastAsia="楷体_GB2312" w:hAnsi="Arial" w:cs="楷体_GB2312" w:hint="eastAsia"/>
        </w:rPr>
        <w:t>平均值</w:t>
      </w:r>
      <w:r>
        <w:rPr>
          <w:rFonts w:ascii="Arial" w:eastAsia="楷体_GB2312" w:hAnsi="Arial" w:cs="Arial"/>
        </w:rPr>
        <w:t>/</w:t>
      </w:r>
      <w:r>
        <w:rPr>
          <w:rFonts w:ascii="Arial" w:eastAsia="楷体_GB2312" w:hAnsi="Arial" w:cs="楷体_GB2312" w:hint="eastAsia"/>
        </w:rPr>
        <w:t>均值</w:t>
      </w:r>
      <w:r w:rsidRPr="00CE17A5">
        <w:rPr>
          <w:rFonts w:ascii="Arial" w:eastAsia="楷体_GB2312" w:hAnsi="Arial" w:cs="楷体_GB2312" w:hint="eastAsia"/>
        </w:rPr>
        <w:t>，指所有被调查数据的平均值，反映市场的平均水平。</w:t>
      </w:r>
    </w:p>
  </w:footnote>
  <w:footnote w:id="4">
    <w:p w:rsidR="00DA0843" w:rsidRDefault="00DA0843" w:rsidP="00EF298D">
      <w:pPr>
        <w:pStyle w:val="FootnoteText"/>
        <w:rPr>
          <w:rFonts w:cs="Times New Roman"/>
        </w:rPr>
      </w:pPr>
      <w:r w:rsidRPr="00091614">
        <w:rPr>
          <w:rStyle w:val="FootnoteReference"/>
          <w:rFonts w:ascii="楷体_GB2312" w:eastAsia="楷体_GB2312" w:cs="Times New Roman"/>
        </w:rPr>
        <w:footnoteRef/>
      </w:r>
      <w:r w:rsidRPr="00091614">
        <w:rPr>
          <w:rFonts w:ascii="楷体_GB2312" w:eastAsia="楷体_GB2312" w:cs="楷体_GB2312" w:hint="eastAsia"/>
        </w:rPr>
        <w:t>苏北七市包括苏北地区已存在上市公司的扬州、泰州、南通、盐城、宿迁、连云港和徐州七个城市</w:t>
      </w:r>
      <w:r>
        <w:rPr>
          <w:rFonts w:ascii="楷体_GB2312" w:eastAsia="楷体_GB2312" w:cs="楷体_GB2312" w:hint="eastAsia"/>
        </w:rPr>
        <w:t>。</w:t>
      </w:r>
    </w:p>
  </w:footnote>
  <w:footnote w:id="5">
    <w:p w:rsidR="00DA0843" w:rsidRDefault="00DA0843" w:rsidP="00EF298D">
      <w:pPr>
        <w:pStyle w:val="FootnoteText"/>
        <w:rPr>
          <w:rFonts w:cs="Times New Roman"/>
        </w:rPr>
      </w:pPr>
      <w:r w:rsidRPr="00091614">
        <w:rPr>
          <w:rStyle w:val="FootnoteReference"/>
          <w:rFonts w:ascii="楷体_GB2312" w:eastAsia="楷体_GB2312" w:cs="Times New Roman"/>
        </w:rPr>
        <w:footnoteRef/>
      </w:r>
      <w:r w:rsidRPr="00091614">
        <w:rPr>
          <w:rFonts w:ascii="楷体_GB2312" w:eastAsia="楷体_GB2312" w:cs="楷体_GB2312" w:hint="eastAsia"/>
        </w:rPr>
        <w:t>苏南五市包括南京、镇江、常州、无锡和苏州五个苏南城市</w:t>
      </w:r>
      <w:r>
        <w:rPr>
          <w:rFonts w:ascii="楷体_GB2312" w:eastAsia="楷体_GB2312" w:cs="楷体_GB2312" w:hint="eastAsia"/>
        </w:rPr>
        <w:t>。</w:t>
      </w:r>
    </w:p>
  </w:footnote>
  <w:footnote w:id="6">
    <w:p w:rsidR="00DA0843" w:rsidRDefault="00DA0843" w:rsidP="002D0A8F">
      <w:pPr>
        <w:pStyle w:val="FootnoteText"/>
        <w:rPr>
          <w:rFonts w:cs="Times New Roman"/>
        </w:rPr>
      </w:pPr>
      <w:r w:rsidRPr="00DC267F">
        <w:rPr>
          <w:rStyle w:val="FootnoteReference"/>
          <w:rFonts w:ascii="Arial" w:eastAsia="楷体_GB2312" w:hAnsi="Arial" w:cs="Times New Roman"/>
        </w:rPr>
        <w:footnoteRef/>
      </w:r>
      <w:r w:rsidRPr="00DC267F">
        <w:rPr>
          <w:rFonts w:ascii="Arial" w:eastAsia="楷体_GB2312" w:hAnsi="Arial" w:cs="楷体_GB2312" w:hint="eastAsia"/>
        </w:rPr>
        <w:t>江苏地区股权激励数据截止到</w:t>
      </w:r>
      <w:r>
        <w:rPr>
          <w:rFonts w:ascii="Arial" w:eastAsia="楷体_GB2312" w:hAnsi="Arial" w:cs="Arial"/>
        </w:rPr>
        <w:t>2013</w:t>
      </w:r>
      <w:r w:rsidRPr="00DC267F">
        <w:rPr>
          <w:rFonts w:ascii="Arial" w:eastAsia="楷体_GB2312" w:hAnsi="Arial" w:cs="楷体_GB2312" w:hint="eastAsia"/>
        </w:rPr>
        <w:t>年</w:t>
      </w:r>
      <w:r w:rsidRPr="00DC267F">
        <w:rPr>
          <w:rFonts w:ascii="Arial" w:eastAsia="楷体_GB2312" w:hAnsi="Arial" w:cs="Arial"/>
        </w:rPr>
        <w:t>5</w:t>
      </w:r>
      <w:r w:rsidRPr="00DC267F">
        <w:rPr>
          <w:rFonts w:ascii="Arial" w:eastAsia="楷体_GB2312" w:hAnsi="Arial" w:cs="楷体_GB2312" w:hint="eastAsia"/>
        </w:rPr>
        <w:t>月。</w:t>
      </w:r>
    </w:p>
  </w:footnote>
  <w:footnote w:id="7">
    <w:p w:rsidR="00DA0843" w:rsidRDefault="00DA0843" w:rsidP="002D0A8F">
      <w:pPr>
        <w:pStyle w:val="FootnoteText"/>
        <w:rPr>
          <w:rFonts w:cs="Times New Roman"/>
        </w:rPr>
      </w:pPr>
      <w:r w:rsidRPr="002B773E">
        <w:rPr>
          <w:rStyle w:val="FootnoteReference"/>
          <w:rFonts w:ascii="Arial" w:eastAsia="楷体_GB2312" w:hAnsi="Arial" w:cs="Times New Roman"/>
        </w:rPr>
        <w:footnoteRef/>
      </w:r>
      <w:r w:rsidRPr="002B773E">
        <w:rPr>
          <w:rFonts w:ascii="Arial" w:eastAsia="楷体_GB2312" w:hAnsi="Arial" w:cs="楷体_GB2312" w:hint="eastAsia"/>
        </w:rPr>
        <w:t>计算中国上市公司高管薪酬水平激励程度值公式中涉及</w:t>
      </w:r>
      <w:r>
        <w:rPr>
          <w:rFonts w:ascii="Arial" w:eastAsia="楷体_GB2312" w:hAnsi="Arial" w:cs="Arial"/>
        </w:rPr>
        <w:t>2010</w:t>
      </w:r>
      <w:r w:rsidRPr="002B773E">
        <w:rPr>
          <w:rFonts w:ascii="Arial" w:eastAsia="楷体_GB2312" w:hAnsi="Arial" w:cs="楷体_GB2312" w:hint="eastAsia"/>
        </w:rPr>
        <w:t>年上市公司相关数据，因此，</w:t>
      </w:r>
      <w:r>
        <w:rPr>
          <w:rFonts w:ascii="Arial" w:eastAsia="楷体_GB2312" w:hAnsi="Arial" w:cs="Arial"/>
        </w:rPr>
        <w:t>2010</w:t>
      </w:r>
      <w:r w:rsidRPr="002B773E">
        <w:rPr>
          <w:rFonts w:ascii="Arial" w:eastAsia="楷体_GB2312" w:hAnsi="Arial" w:cs="楷体_GB2312" w:hint="eastAsia"/>
        </w:rPr>
        <w:t>、</w:t>
      </w:r>
      <w:r>
        <w:rPr>
          <w:rFonts w:ascii="Arial" w:eastAsia="楷体_GB2312" w:hAnsi="Arial" w:cs="Arial"/>
        </w:rPr>
        <w:t>2011</w:t>
      </w:r>
      <w:r w:rsidRPr="002B773E">
        <w:rPr>
          <w:rFonts w:ascii="Arial" w:eastAsia="楷体_GB2312" w:hAnsi="Arial" w:cs="楷体_GB2312" w:hint="eastAsia"/>
        </w:rPr>
        <w:t>年新上市公司以及</w:t>
      </w:r>
      <w:r>
        <w:rPr>
          <w:rFonts w:ascii="Arial" w:eastAsia="楷体_GB2312" w:hAnsi="Arial" w:cs="Arial"/>
        </w:rPr>
        <w:t>2010</w:t>
      </w:r>
      <w:r w:rsidRPr="002B773E">
        <w:rPr>
          <w:rFonts w:ascii="Arial" w:eastAsia="楷体_GB2312" w:hAnsi="Arial" w:cs="楷体_GB2312" w:hint="eastAsia"/>
        </w:rPr>
        <w:t>年相关数据缺失的公司难以求得高管薪酬激励程度值。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EF"/>
    <w:multiLevelType w:val="hybridMultilevel"/>
    <w:tmpl w:val="E394645C"/>
    <w:lvl w:ilvl="0" w:tplc="F8602F06">
      <w:start w:val="1"/>
      <w:numFmt w:val="decimal"/>
      <w:lvlText w:val="表%1："/>
      <w:lvlJc w:val="left"/>
      <w:pPr>
        <w:ind w:left="1413" w:hanging="420"/>
      </w:pPr>
      <w:rPr>
        <w:rFonts w:ascii="Arial" w:eastAsia="楷体_GB2312" w:hAnsi="Arial" w:hint="default"/>
        <w:b/>
        <w:bCs/>
        <w:i w:val="0"/>
        <w:iCs w:val="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A050F4D"/>
    <w:multiLevelType w:val="hybridMultilevel"/>
    <w:tmpl w:val="B3FE992A"/>
    <w:lvl w:ilvl="0" w:tplc="F8602F06">
      <w:start w:val="1"/>
      <w:numFmt w:val="decimal"/>
      <w:lvlText w:val="表%1："/>
      <w:lvlJc w:val="left"/>
      <w:pPr>
        <w:ind w:left="840" w:hanging="420"/>
      </w:pPr>
      <w:rPr>
        <w:rFonts w:ascii="Arial" w:eastAsia="楷体_GB2312" w:hAnsi="Arial" w:hint="default"/>
        <w:b/>
        <w:bCs/>
        <w:i w:val="0"/>
        <w:iCs w:val="0"/>
        <w:sz w:val="21"/>
        <w:szCs w:val="21"/>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0F4449C5"/>
    <w:multiLevelType w:val="hybridMultilevel"/>
    <w:tmpl w:val="9428653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19754664"/>
    <w:multiLevelType w:val="hybridMultilevel"/>
    <w:tmpl w:val="46FA6C1E"/>
    <w:lvl w:ilvl="0" w:tplc="F8602F06">
      <w:start w:val="1"/>
      <w:numFmt w:val="decimal"/>
      <w:lvlText w:val="表%1："/>
      <w:lvlJc w:val="left"/>
      <w:pPr>
        <w:ind w:left="420" w:hanging="420"/>
      </w:pPr>
      <w:rPr>
        <w:rFonts w:ascii="Arial" w:eastAsia="楷体_GB2312" w:hAnsi="Arial" w:hint="default"/>
        <w:b/>
        <w:bCs/>
        <w:i w:val="0"/>
        <w:iCs w:val="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BB86522"/>
    <w:multiLevelType w:val="hybridMultilevel"/>
    <w:tmpl w:val="3F40D86C"/>
    <w:lvl w:ilvl="0" w:tplc="59F0CCC6">
      <w:start w:val="1"/>
      <w:numFmt w:val="decimal"/>
      <w:lvlText w:val="表%1："/>
      <w:lvlJc w:val="left"/>
      <w:pPr>
        <w:ind w:left="2406" w:hanging="420"/>
      </w:pPr>
      <w:rPr>
        <w:rFonts w:ascii="Arial" w:eastAsia="楷体_GB2312" w:hAnsi="Arial" w:hint="default"/>
        <w:b/>
        <w:bCs/>
        <w:i w:val="0"/>
        <w:iCs w:val="0"/>
        <w:sz w:val="21"/>
        <w:szCs w:val="21"/>
      </w:rPr>
    </w:lvl>
    <w:lvl w:ilvl="1" w:tplc="04090019">
      <w:start w:val="1"/>
      <w:numFmt w:val="lowerLetter"/>
      <w:lvlText w:val="%2)"/>
      <w:lvlJc w:val="left"/>
      <w:pPr>
        <w:ind w:left="1833" w:hanging="420"/>
      </w:pPr>
    </w:lvl>
    <w:lvl w:ilvl="2" w:tplc="0409001B">
      <w:start w:val="1"/>
      <w:numFmt w:val="lowerRoman"/>
      <w:lvlText w:val="%3."/>
      <w:lvlJc w:val="right"/>
      <w:pPr>
        <w:ind w:left="2253" w:hanging="420"/>
      </w:pPr>
    </w:lvl>
    <w:lvl w:ilvl="3" w:tplc="0409000F">
      <w:start w:val="1"/>
      <w:numFmt w:val="decimal"/>
      <w:lvlText w:val="%4."/>
      <w:lvlJc w:val="left"/>
      <w:pPr>
        <w:ind w:left="2673" w:hanging="420"/>
      </w:pPr>
    </w:lvl>
    <w:lvl w:ilvl="4" w:tplc="04090019">
      <w:start w:val="1"/>
      <w:numFmt w:val="lowerLetter"/>
      <w:lvlText w:val="%5)"/>
      <w:lvlJc w:val="left"/>
      <w:pPr>
        <w:ind w:left="3093" w:hanging="420"/>
      </w:pPr>
    </w:lvl>
    <w:lvl w:ilvl="5" w:tplc="0409001B">
      <w:start w:val="1"/>
      <w:numFmt w:val="lowerRoman"/>
      <w:lvlText w:val="%6."/>
      <w:lvlJc w:val="right"/>
      <w:pPr>
        <w:ind w:left="3513" w:hanging="420"/>
      </w:pPr>
    </w:lvl>
    <w:lvl w:ilvl="6" w:tplc="0409000F">
      <w:start w:val="1"/>
      <w:numFmt w:val="decimal"/>
      <w:lvlText w:val="%7."/>
      <w:lvlJc w:val="left"/>
      <w:pPr>
        <w:ind w:left="3933" w:hanging="420"/>
      </w:pPr>
    </w:lvl>
    <w:lvl w:ilvl="7" w:tplc="04090019">
      <w:start w:val="1"/>
      <w:numFmt w:val="lowerLetter"/>
      <w:lvlText w:val="%8)"/>
      <w:lvlJc w:val="left"/>
      <w:pPr>
        <w:ind w:left="4353" w:hanging="420"/>
      </w:pPr>
    </w:lvl>
    <w:lvl w:ilvl="8" w:tplc="0409001B">
      <w:start w:val="1"/>
      <w:numFmt w:val="lowerRoman"/>
      <w:lvlText w:val="%9."/>
      <w:lvlJc w:val="right"/>
      <w:pPr>
        <w:ind w:left="4773" w:hanging="420"/>
      </w:pPr>
    </w:lvl>
  </w:abstractNum>
  <w:abstractNum w:abstractNumId="5">
    <w:nsid w:val="3342272D"/>
    <w:multiLevelType w:val="hybridMultilevel"/>
    <w:tmpl w:val="FB024904"/>
    <w:lvl w:ilvl="0" w:tplc="2C16D700">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88D26AE0">
      <w:numFmt w:val="bullet"/>
      <w:lvlText w:val="•"/>
      <w:lvlJc w:val="left"/>
      <w:pPr>
        <w:tabs>
          <w:tab w:val="num" w:pos="840"/>
        </w:tabs>
        <w:ind w:left="1124" w:hanging="284"/>
      </w:pPr>
      <w:rPr>
        <w:rFonts w:ascii="Arial" w:eastAsia="宋体" w:hAnsi="Arial" w:hint="default"/>
        <w:sz w:val="24"/>
        <w:szCs w:val="24"/>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6">
    <w:nsid w:val="3B5E4947"/>
    <w:multiLevelType w:val="hybridMultilevel"/>
    <w:tmpl w:val="E970317E"/>
    <w:lvl w:ilvl="0" w:tplc="8C5ACC32">
      <w:numFmt w:val="bullet"/>
      <w:lvlText w:val="•"/>
      <w:lvlJc w:val="left"/>
      <w:pPr>
        <w:ind w:left="840" w:hanging="420"/>
      </w:pPr>
      <w:rPr>
        <w:rFonts w:ascii="Arial" w:eastAsia="宋体" w:hAnsi="Arial" w:hint="default"/>
        <w:sz w:val="24"/>
        <w:szCs w:val="24"/>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7">
    <w:nsid w:val="3B8E7D20"/>
    <w:multiLevelType w:val="hybridMultilevel"/>
    <w:tmpl w:val="46D601BA"/>
    <w:lvl w:ilvl="0" w:tplc="EEDE7A0A">
      <w:start w:val="1"/>
      <w:numFmt w:val="decimal"/>
      <w:lvlText w:val="图%1："/>
      <w:lvlJc w:val="left"/>
      <w:pPr>
        <w:ind w:left="1838" w:hanging="420"/>
      </w:pPr>
      <w:rPr>
        <w:rFonts w:ascii="Arial" w:eastAsia="楷体_GB2312" w:hAnsi="Arial" w:hint="default"/>
        <w:b/>
        <w:bCs/>
        <w:i w:val="0"/>
        <w:iCs w:val="0"/>
        <w:sz w:val="21"/>
        <w:szCs w:val="21"/>
      </w:rPr>
    </w:lvl>
    <w:lvl w:ilvl="1" w:tplc="04090019">
      <w:start w:val="1"/>
      <w:numFmt w:val="lowerLetter"/>
      <w:lvlText w:val="%2)"/>
      <w:lvlJc w:val="left"/>
      <w:pPr>
        <w:ind w:left="2258" w:hanging="420"/>
      </w:pPr>
    </w:lvl>
    <w:lvl w:ilvl="2" w:tplc="0409001B">
      <w:start w:val="1"/>
      <w:numFmt w:val="lowerRoman"/>
      <w:lvlText w:val="%3."/>
      <w:lvlJc w:val="right"/>
      <w:pPr>
        <w:ind w:left="2678" w:hanging="420"/>
      </w:pPr>
    </w:lvl>
    <w:lvl w:ilvl="3" w:tplc="0409000F">
      <w:start w:val="1"/>
      <w:numFmt w:val="decimal"/>
      <w:lvlText w:val="%4."/>
      <w:lvlJc w:val="left"/>
      <w:pPr>
        <w:ind w:left="3098" w:hanging="420"/>
      </w:pPr>
    </w:lvl>
    <w:lvl w:ilvl="4" w:tplc="04090019">
      <w:start w:val="1"/>
      <w:numFmt w:val="lowerLetter"/>
      <w:lvlText w:val="%5)"/>
      <w:lvlJc w:val="left"/>
      <w:pPr>
        <w:ind w:left="3518" w:hanging="420"/>
      </w:pPr>
    </w:lvl>
    <w:lvl w:ilvl="5" w:tplc="0409001B">
      <w:start w:val="1"/>
      <w:numFmt w:val="lowerRoman"/>
      <w:lvlText w:val="%6."/>
      <w:lvlJc w:val="right"/>
      <w:pPr>
        <w:ind w:left="3938" w:hanging="420"/>
      </w:pPr>
    </w:lvl>
    <w:lvl w:ilvl="6" w:tplc="0409000F">
      <w:start w:val="1"/>
      <w:numFmt w:val="decimal"/>
      <w:lvlText w:val="%7."/>
      <w:lvlJc w:val="left"/>
      <w:pPr>
        <w:ind w:left="4358" w:hanging="420"/>
      </w:pPr>
    </w:lvl>
    <w:lvl w:ilvl="7" w:tplc="04090019">
      <w:start w:val="1"/>
      <w:numFmt w:val="lowerLetter"/>
      <w:lvlText w:val="%8)"/>
      <w:lvlJc w:val="left"/>
      <w:pPr>
        <w:ind w:left="4778" w:hanging="420"/>
      </w:pPr>
    </w:lvl>
    <w:lvl w:ilvl="8" w:tplc="0409001B">
      <w:start w:val="1"/>
      <w:numFmt w:val="lowerRoman"/>
      <w:lvlText w:val="%9."/>
      <w:lvlJc w:val="right"/>
      <w:pPr>
        <w:ind w:left="5198" w:hanging="420"/>
      </w:pPr>
    </w:lvl>
  </w:abstractNum>
  <w:abstractNum w:abstractNumId="8">
    <w:nsid w:val="3E2F47EB"/>
    <w:multiLevelType w:val="hybridMultilevel"/>
    <w:tmpl w:val="871A6F20"/>
    <w:lvl w:ilvl="0" w:tplc="F8602F06">
      <w:start w:val="1"/>
      <w:numFmt w:val="decimal"/>
      <w:lvlText w:val="表%1："/>
      <w:lvlJc w:val="left"/>
      <w:pPr>
        <w:ind w:left="420" w:hanging="420"/>
      </w:pPr>
      <w:rPr>
        <w:rFonts w:ascii="Arial" w:eastAsia="楷体_GB2312" w:hAnsi="Arial" w:hint="default"/>
        <w:b/>
        <w:bCs/>
        <w:i w:val="0"/>
        <w:iCs w:val="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EC3103D"/>
    <w:multiLevelType w:val="hybridMultilevel"/>
    <w:tmpl w:val="2FFAF960"/>
    <w:lvl w:ilvl="0" w:tplc="8C5ACC32">
      <w:numFmt w:val="bullet"/>
      <w:lvlText w:val="•"/>
      <w:lvlJc w:val="left"/>
      <w:pPr>
        <w:tabs>
          <w:tab w:val="num" w:pos="0"/>
        </w:tabs>
        <w:ind w:left="284" w:hanging="284"/>
      </w:pPr>
      <w:rPr>
        <w:rFonts w:ascii="Arial" w:eastAsia="宋体" w:hAnsi="Arial" w:hint="default"/>
        <w:sz w:val="24"/>
        <w:szCs w:val="24"/>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0">
    <w:nsid w:val="467D6A19"/>
    <w:multiLevelType w:val="hybridMultilevel"/>
    <w:tmpl w:val="384C0FDA"/>
    <w:lvl w:ilvl="0" w:tplc="59F0CCC6">
      <w:start w:val="1"/>
      <w:numFmt w:val="decimal"/>
      <w:lvlText w:val="表%1："/>
      <w:lvlJc w:val="left"/>
      <w:pPr>
        <w:ind w:left="1413" w:hanging="420"/>
      </w:pPr>
      <w:rPr>
        <w:rFonts w:ascii="Arial" w:eastAsia="楷体_GB2312" w:hAnsi="Arial" w:hint="default"/>
        <w:b/>
        <w:bCs/>
        <w:i w:val="0"/>
        <w:iCs w:val="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519047C8"/>
    <w:multiLevelType w:val="hybridMultilevel"/>
    <w:tmpl w:val="7040D782"/>
    <w:lvl w:ilvl="0" w:tplc="8C5ACC32">
      <w:numFmt w:val="bullet"/>
      <w:lvlText w:val="•"/>
      <w:lvlJc w:val="left"/>
      <w:pPr>
        <w:ind w:hanging="420"/>
      </w:pPr>
      <w:rPr>
        <w:rFonts w:ascii="Arial" w:eastAsia="宋体" w:hAnsi="Arial" w:hint="default"/>
        <w:sz w:val="24"/>
        <w:szCs w:val="24"/>
      </w:rPr>
    </w:lvl>
    <w:lvl w:ilvl="1" w:tplc="04090003">
      <w:start w:val="1"/>
      <w:numFmt w:val="bullet"/>
      <w:lvlText w:val=""/>
      <w:lvlJc w:val="left"/>
      <w:pPr>
        <w:ind w:left="420" w:hanging="420"/>
      </w:pPr>
      <w:rPr>
        <w:rFonts w:ascii="Wingdings" w:hAnsi="Wingdings" w:cs="Wingdings" w:hint="default"/>
      </w:rPr>
    </w:lvl>
    <w:lvl w:ilvl="2" w:tplc="04090005">
      <w:start w:val="1"/>
      <w:numFmt w:val="bullet"/>
      <w:lvlText w:val=""/>
      <w:lvlJc w:val="left"/>
      <w:pPr>
        <w:ind w:left="840" w:hanging="420"/>
      </w:pPr>
      <w:rPr>
        <w:rFonts w:ascii="Wingdings" w:hAnsi="Wingdings" w:cs="Wingdings" w:hint="default"/>
      </w:rPr>
    </w:lvl>
    <w:lvl w:ilvl="3" w:tplc="04090001">
      <w:start w:val="1"/>
      <w:numFmt w:val="bullet"/>
      <w:lvlText w:val=""/>
      <w:lvlJc w:val="left"/>
      <w:pPr>
        <w:ind w:left="1260" w:hanging="420"/>
      </w:pPr>
      <w:rPr>
        <w:rFonts w:ascii="Wingdings" w:hAnsi="Wingdings" w:cs="Wingdings" w:hint="default"/>
      </w:rPr>
    </w:lvl>
    <w:lvl w:ilvl="4" w:tplc="04090003">
      <w:start w:val="1"/>
      <w:numFmt w:val="bullet"/>
      <w:lvlText w:val=""/>
      <w:lvlJc w:val="left"/>
      <w:pPr>
        <w:ind w:left="1680" w:hanging="420"/>
      </w:pPr>
      <w:rPr>
        <w:rFonts w:ascii="Wingdings" w:hAnsi="Wingdings" w:cs="Wingdings" w:hint="default"/>
      </w:rPr>
    </w:lvl>
    <w:lvl w:ilvl="5" w:tplc="04090005">
      <w:start w:val="1"/>
      <w:numFmt w:val="bullet"/>
      <w:lvlText w:val=""/>
      <w:lvlJc w:val="left"/>
      <w:pPr>
        <w:ind w:left="2100" w:hanging="420"/>
      </w:pPr>
      <w:rPr>
        <w:rFonts w:ascii="Wingdings" w:hAnsi="Wingdings" w:cs="Wingdings" w:hint="default"/>
      </w:rPr>
    </w:lvl>
    <w:lvl w:ilvl="6" w:tplc="04090001">
      <w:start w:val="1"/>
      <w:numFmt w:val="bullet"/>
      <w:lvlText w:val=""/>
      <w:lvlJc w:val="left"/>
      <w:pPr>
        <w:ind w:left="2520" w:hanging="420"/>
      </w:pPr>
      <w:rPr>
        <w:rFonts w:ascii="Wingdings" w:hAnsi="Wingdings" w:cs="Wingdings" w:hint="default"/>
      </w:rPr>
    </w:lvl>
    <w:lvl w:ilvl="7" w:tplc="04090003">
      <w:start w:val="1"/>
      <w:numFmt w:val="bullet"/>
      <w:lvlText w:val=""/>
      <w:lvlJc w:val="left"/>
      <w:pPr>
        <w:ind w:left="2940" w:hanging="420"/>
      </w:pPr>
      <w:rPr>
        <w:rFonts w:ascii="Wingdings" w:hAnsi="Wingdings" w:cs="Wingdings" w:hint="default"/>
      </w:rPr>
    </w:lvl>
    <w:lvl w:ilvl="8" w:tplc="04090005">
      <w:start w:val="1"/>
      <w:numFmt w:val="bullet"/>
      <w:lvlText w:val=""/>
      <w:lvlJc w:val="left"/>
      <w:pPr>
        <w:ind w:left="3360" w:hanging="420"/>
      </w:pPr>
      <w:rPr>
        <w:rFonts w:ascii="Wingdings" w:hAnsi="Wingdings" w:cs="Wingdings" w:hint="default"/>
      </w:rPr>
    </w:lvl>
  </w:abstractNum>
  <w:abstractNum w:abstractNumId="12">
    <w:nsid w:val="54F63851"/>
    <w:multiLevelType w:val="hybridMultilevel"/>
    <w:tmpl w:val="87EABDD8"/>
    <w:lvl w:ilvl="0" w:tplc="59F0CCC6">
      <w:start w:val="1"/>
      <w:numFmt w:val="decimal"/>
      <w:lvlText w:val="表%1："/>
      <w:lvlJc w:val="left"/>
      <w:pPr>
        <w:ind w:left="2253" w:hanging="420"/>
      </w:pPr>
      <w:rPr>
        <w:rFonts w:ascii="Arial" w:eastAsia="楷体_GB2312" w:hAnsi="Arial" w:hint="default"/>
        <w:b/>
        <w:bCs/>
        <w:i w:val="0"/>
        <w:iCs w:val="0"/>
        <w:sz w:val="21"/>
        <w:szCs w:val="21"/>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3">
    <w:nsid w:val="65276324"/>
    <w:multiLevelType w:val="hybridMultilevel"/>
    <w:tmpl w:val="66FEA824"/>
    <w:lvl w:ilvl="0" w:tplc="72464B36">
      <w:start w:val="1"/>
      <w:numFmt w:val="decimal"/>
      <w:lvlText w:val="表%1："/>
      <w:lvlJc w:val="left"/>
      <w:pPr>
        <w:ind w:left="1107" w:hanging="420"/>
      </w:pPr>
      <w:rPr>
        <w:rFonts w:ascii="Arial" w:eastAsia="楷体_GB2312" w:hAnsi="Arial" w:hint="default"/>
        <w:b/>
        <w:bCs/>
        <w:i w:val="0"/>
        <w:iCs w:val="0"/>
        <w:sz w:val="21"/>
        <w:szCs w:val="21"/>
      </w:rPr>
    </w:lvl>
    <w:lvl w:ilvl="1" w:tplc="04090019">
      <w:start w:val="1"/>
      <w:numFmt w:val="lowerLetter"/>
      <w:lvlText w:val="%2)"/>
      <w:lvlJc w:val="left"/>
      <w:pPr>
        <w:ind w:left="1527" w:hanging="420"/>
      </w:pPr>
    </w:lvl>
    <w:lvl w:ilvl="2" w:tplc="0409001B">
      <w:start w:val="1"/>
      <w:numFmt w:val="lowerRoman"/>
      <w:lvlText w:val="%3."/>
      <w:lvlJc w:val="right"/>
      <w:pPr>
        <w:ind w:left="1947" w:hanging="420"/>
      </w:pPr>
    </w:lvl>
    <w:lvl w:ilvl="3" w:tplc="0409000F">
      <w:start w:val="1"/>
      <w:numFmt w:val="decimal"/>
      <w:lvlText w:val="%4."/>
      <w:lvlJc w:val="left"/>
      <w:pPr>
        <w:ind w:left="2367" w:hanging="420"/>
      </w:pPr>
    </w:lvl>
    <w:lvl w:ilvl="4" w:tplc="04090019">
      <w:start w:val="1"/>
      <w:numFmt w:val="lowerLetter"/>
      <w:lvlText w:val="%5)"/>
      <w:lvlJc w:val="left"/>
      <w:pPr>
        <w:ind w:left="2787" w:hanging="420"/>
      </w:pPr>
    </w:lvl>
    <w:lvl w:ilvl="5" w:tplc="0409001B">
      <w:start w:val="1"/>
      <w:numFmt w:val="lowerRoman"/>
      <w:lvlText w:val="%6."/>
      <w:lvlJc w:val="right"/>
      <w:pPr>
        <w:ind w:left="3207" w:hanging="420"/>
      </w:pPr>
    </w:lvl>
    <w:lvl w:ilvl="6" w:tplc="0409000F">
      <w:start w:val="1"/>
      <w:numFmt w:val="decimal"/>
      <w:lvlText w:val="%7."/>
      <w:lvlJc w:val="left"/>
      <w:pPr>
        <w:ind w:left="3627" w:hanging="420"/>
      </w:pPr>
    </w:lvl>
    <w:lvl w:ilvl="7" w:tplc="04090019">
      <w:start w:val="1"/>
      <w:numFmt w:val="lowerLetter"/>
      <w:lvlText w:val="%8)"/>
      <w:lvlJc w:val="left"/>
      <w:pPr>
        <w:ind w:left="4047" w:hanging="420"/>
      </w:pPr>
    </w:lvl>
    <w:lvl w:ilvl="8" w:tplc="0409001B">
      <w:start w:val="1"/>
      <w:numFmt w:val="lowerRoman"/>
      <w:lvlText w:val="%9."/>
      <w:lvlJc w:val="right"/>
      <w:pPr>
        <w:ind w:left="4467" w:hanging="420"/>
      </w:pPr>
    </w:lvl>
  </w:abstractNum>
  <w:abstractNum w:abstractNumId="14">
    <w:nsid w:val="6A631949"/>
    <w:multiLevelType w:val="hybridMultilevel"/>
    <w:tmpl w:val="5D40E550"/>
    <w:lvl w:ilvl="0" w:tplc="04090001">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15">
    <w:nsid w:val="787B6BE9"/>
    <w:multiLevelType w:val="hybridMultilevel"/>
    <w:tmpl w:val="46FA6C1E"/>
    <w:lvl w:ilvl="0" w:tplc="F8602F06">
      <w:start w:val="1"/>
      <w:numFmt w:val="decimal"/>
      <w:lvlText w:val="表%1："/>
      <w:lvlJc w:val="left"/>
      <w:pPr>
        <w:ind w:left="420" w:hanging="420"/>
      </w:pPr>
      <w:rPr>
        <w:rFonts w:ascii="Arial" w:eastAsia="楷体_GB2312" w:hAnsi="Arial" w:hint="default"/>
        <w:b/>
        <w:bCs/>
        <w:i w:val="0"/>
        <w:iCs w:val="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5"/>
  </w:num>
  <w:num w:numId="2">
    <w:abstractNumId w:val="9"/>
  </w:num>
  <w:num w:numId="3">
    <w:abstractNumId w:val="7"/>
  </w:num>
  <w:num w:numId="4">
    <w:abstractNumId w:val="15"/>
  </w:num>
  <w:num w:numId="5">
    <w:abstractNumId w:val="11"/>
  </w:num>
  <w:num w:numId="6">
    <w:abstractNumId w:val="14"/>
  </w:num>
  <w:num w:numId="7">
    <w:abstractNumId w:val="6"/>
  </w:num>
  <w:num w:numId="8">
    <w:abstractNumId w:val="0"/>
  </w:num>
  <w:num w:numId="9">
    <w:abstractNumId w:val="2"/>
  </w:num>
  <w:num w:numId="10">
    <w:abstractNumId w:val="1"/>
  </w:num>
  <w:num w:numId="11">
    <w:abstractNumId w:val="8"/>
  </w:num>
  <w:num w:numId="12">
    <w:abstractNumId w:val="10"/>
  </w:num>
  <w:num w:numId="13">
    <w:abstractNumId w:val="4"/>
  </w:num>
  <w:num w:numId="14">
    <w:abstractNumId w:val="12"/>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959"/>
    <w:rsid w:val="0000343F"/>
    <w:rsid w:val="0000390F"/>
    <w:rsid w:val="00007A6E"/>
    <w:rsid w:val="00010CFE"/>
    <w:rsid w:val="00013AC4"/>
    <w:rsid w:val="00013F06"/>
    <w:rsid w:val="00015A53"/>
    <w:rsid w:val="000226FB"/>
    <w:rsid w:val="00035403"/>
    <w:rsid w:val="0004353E"/>
    <w:rsid w:val="0004679C"/>
    <w:rsid w:val="00047506"/>
    <w:rsid w:val="000479D3"/>
    <w:rsid w:val="00054CD7"/>
    <w:rsid w:val="000566B6"/>
    <w:rsid w:val="00056970"/>
    <w:rsid w:val="00063C10"/>
    <w:rsid w:val="000658E8"/>
    <w:rsid w:val="00065BFD"/>
    <w:rsid w:val="00087FDD"/>
    <w:rsid w:val="00091614"/>
    <w:rsid w:val="000B241C"/>
    <w:rsid w:val="000B557B"/>
    <w:rsid w:val="000C3331"/>
    <w:rsid w:val="000C6442"/>
    <w:rsid w:val="000D2E10"/>
    <w:rsid w:val="000D6228"/>
    <w:rsid w:val="000E26B0"/>
    <w:rsid w:val="000E3498"/>
    <w:rsid w:val="000E3E62"/>
    <w:rsid w:val="000E5002"/>
    <w:rsid w:val="000E633A"/>
    <w:rsid w:val="000E6A7C"/>
    <w:rsid w:val="000E7A90"/>
    <w:rsid w:val="000F1252"/>
    <w:rsid w:val="000F2EB0"/>
    <w:rsid w:val="00106F52"/>
    <w:rsid w:val="001136EC"/>
    <w:rsid w:val="00120F51"/>
    <w:rsid w:val="00123A16"/>
    <w:rsid w:val="00125D97"/>
    <w:rsid w:val="00132550"/>
    <w:rsid w:val="00132DA0"/>
    <w:rsid w:val="00133339"/>
    <w:rsid w:val="00134F73"/>
    <w:rsid w:val="0013597C"/>
    <w:rsid w:val="001374D2"/>
    <w:rsid w:val="001375FF"/>
    <w:rsid w:val="00140BC9"/>
    <w:rsid w:val="001410F2"/>
    <w:rsid w:val="00143CB0"/>
    <w:rsid w:val="001448BD"/>
    <w:rsid w:val="00144AF9"/>
    <w:rsid w:val="00144C90"/>
    <w:rsid w:val="001523B0"/>
    <w:rsid w:val="00152740"/>
    <w:rsid w:val="001631A9"/>
    <w:rsid w:val="001644B0"/>
    <w:rsid w:val="00164C52"/>
    <w:rsid w:val="00165F6C"/>
    <w:rsid w:val="00166254"/>
    <w:rsid w:val="00166948"/>
    <w:rsid w:val="001748EA"/>
    <w:rsid w:val="00175CB4"/>
    <w:rsid w:val="00177A3B"/>
    <w:rsid w:val="001840F5"/>
    <w:rsid w:val="0019394E"/>
    <w:rsid w:val="001A5940"/>
    <w:rsid w:val="001A66FC"/>
    <w:rsid w:val="001B4986"/>
    <w:rsid w:val="001B6F38"/>
    <w:rsid w:val="001C372D"/>
    <w:rsid w:val="001C43CB"/>
    <w:rsid w:val="001C5D3A"/>
    <w:rsid w:val="001C7D84"/>
    <w:rsid w:val="001C7F71"/>
    <w:rsid w:val="001D4802"/>
    <w:rsid w:val="001D51ED"/>
    <w:rsid w:val="001D7305"/>
    <w:rsid w:val="001E460F"/>
    <w:rsid w:val="001E5CA2"/>
    <w:rsid w:val="001E6075"/>
    <w:rsid w:val="00203629"/>
    <w:rsid w:val="00204FA9"/>
    <w:rsid w:val="00205ED5"/>
    <w:rsid w:val="002116F1"/>
    <w:rsid w:val="002119D5"/>
    <w:rsid w:val="0021303F"/>
    <w:rsid w:val="00220D61"/>
    <w:rsid w:val="00220DCA"/>
    <w:rsid w:val="00231543"/>
    <w:rsid w:val="00233F3B"/>
    <w:rsid w:val="00237DB2"/>
    <w:rsid w:val="002400EA"/>
    <w:rsid w:val="00245677"/>
    <w:rsid w:val="002539E7"/>
    <w:rsid w:val="00253A46"/>
    <w:rsid w:val="00256C25"/>
    <w:rsid w:val="00257F15"/>
    <w:rsid w:val="002616D6"/>
    <w:rsid w:val="00261F1A"/>
    <w:rsid w:val="00265C4D"/>
    <w:rsid w:val="002662E4"/>
    <w:rsid w:val="00267990"/>
    <w:rsid w:val="002700E8"/>
    <w:rsid w:val="002771FC"/>
    <w:rsid w:val="00287EC6"/>
    <w:rsid w:val="002921AE"/>
    <w:rsid w:val="00292BC5"/>
    <w:rsid w:val="00294FD8"/>
    <w:rsid w:val="0029680E"/>
    <w:rsid w:val="002A5229"/>
    <w:rsid w:val="002B2AEA"/>
    <w:rsid w:val="002B36F7"/>
    <w:rsid w:val="002B3B4C"/>
    <w:rsid w:val="002B5B66"/>
    <w:rsid w:val="002B773E"/>
    <w:rsid w:val="002D0A8F"/>
    <w:rsid w:val="002D2504"/>
    <w:rsid w:val="002D42AA"/>
    <w:rsid w:val="002D497D"/>
    <w:rsid w:val="002D49CC"/>
    <w:rsid w:val="002E2E3C"/>
    <w:rsid w:val="002E7113"/>
    <w:rsid w:val="002F5AE3"/>
    <w:rsid w:val="00305B94"/>
    <w:rsid w:val="0030740A"/>
    <w:rsid w:val="00310007"/>
    <w:rsid w:val="00311EAF"/>
    <w:rsid w:val="003161FB"/>
    <w:rsid w:val="0032052F"/>
    <w:rsid w:val="00323B1E"/>
    <w:rsid w:val="00327A41"/>
    <w:rsid w:val="00327ECF"/>
    <w:rsid w:val="003317BF"/>
    <w:rsid w:val="00332B6C"/>
    <w:rsid w:val="00347795"/>
    <w:rsid w:val="00352678"/>
    <w:rsid w:val="00356826"/>
    <w:rsid w:val="00362F45"/>
    <w:rsid w:val="00366A6C"/>
    <w:rsid w:val="0036778E"/>
    <w:rsid w:val="003677F4"/>
    <w:rsid w:val="00367CD4"/>
    <w:rsid w:val="003704C2"/>
    <w:rsid w:val="00370B4F"/>
    <w:rsid w:val="00373D3C"/>
    <w:rsid w:val="003766C4"/>
    <w:rsid w:val="00377A5F"/>
    <w:rsid w:val="00381599"/>
    <w:rsid w:val="00382F8E"/>
    <w:rsid w:val="003846BF"/>
    <w:rsid w:val="00385364"/>
    <w:rsid w:val="003926D6"/>
    <w:rsid w:val="00393F3B"/>
    <w:rsid w:val="003A2B98"/>
    <w:rsid w:val="003A2FA8"/>
    <w:rsid w:val="003A5267"/>
    <w:rsid w:val="003B3CF4"/>
    <w:rsid w:val="003C1A9F"/>
    <w:rsid w:val="003C4CEF"/>
    <w:rsid w:val="003D0AB8"/>
    <w:rsid w:val="003D0B4A"/>
    <w:rsid w:val="003D6A84"/>
    <w:rsid w:val="003E0387"/>
    <w:rsid w:val="003E1B0F"/>
    <w:rsid w:val="003E3438"/>
    <w:rsid w:val="003E3924"/>
    <w:rsid w:val="003F227E"/>
    <w:rsid w:val="003F3A32"/>
    <w:rsid w:val="003F7380"/>
    <w:rsid w:val="00407C3F"/>
    <w:rsid w:val="0041143C"/>
    <w:rsid w:val="00412F85"/>
    <w:rsid w:val="00414F07"/>
    <w:rsid w:val="00416050"/>
    <w:rsid w:val="00421840"/>
    <w:rsid w:val="004223D2"/>
    <w:rsid w:val="00422FFE"/>
    <w:rsid w:val="004240EE"/>
    <w:rsid w:val="00427EBA"/>
    <w:rsid w:val="00430F26"/>
    <w:rsid w:val="00432489"/>
    <w:rsid w:val="004338CB"/>
    <w:rsid w:val="0043529E"/>
    <w:rsid w:val="00447768"/>
    <w:rsid w:val="00452228"/>
    <w:rsid w:val="00453A95"/>
    <w:rsid w:val="00453F9C"/>
    <w:rsid w:val="00455746"/>
    <w:rsid w:val="00456127"/>
    <w:rsid w:val="00456B2E"/>
    <w:rsid w:val="00457DDD"/>
    <w:rsid w:val="004605B2"/>
    <w:rsid w:val="00462597"/>
    <w:rsid w:val="004733CF"/>
    <w:rsid w:val="00477DB9"/>
    <w:rsid w:val="00486CCB"/>
    <w:rsid w:val="00486D27"/>
    <w:rsid w:val="00497587"/>
    <w:rsid w:val="004A15EF"/>
    <w:rsid w:val="004A7543"/>
    <w:rsid w:val="004B38A5"/>
    <w:rsid w:val="004B507B"/>
    <w:rsid w:val="004C0D5C"/>
    <w:rsid w:val="004C0F9F"/>
    <w:rsid w:val="004C1139"/>
    <w:rsid w:val="004C388A"/>
    <w:rsid w:val="004C430F"/>
    <w:rsid w:val="004D1D80"/>
    <w:rsid w:val="004D2C83"/>
    <w:rsid w:val="004D5706"/>
    <w:rsid w:val="004D6036"/>
    <w:rsid w:val="004D717C"/>
    <w:rsid w:val="004D7B06"/>
    <w:rsid w:val="004E3231"/>
    <w:rsid w:val="004E3736"/>
    <w:rsid w:val="004E518B"/>
    <w:rsid w:val="004E5E12"/>
    <w:rsid w:val="004F4CD3"/>
    <w:rsid w:val="00501086"/>
    <w:rsid w:val="005069CC"/>
    <w:rsid w:val="00507D87"/>
    <w:rsid w:val="00513790"/>
    <w:rsid w:val="00513DB2"/>
    <w:rsid w:val="00517E80"/>
    <w:rsid w:val="005222C1"/>
    <w:rsid w:val="00523E46"/>
    <w:rsid w:val="0052738A"/>
    <w:rsid w:val="005364A2"/>
    <w:rsid w:val="00541E1A"/>
    <w:rsid w:val="00546674"/>
    <w:rsid w:val="005507FF"/>
    <w:rsid w:val="0055621B"/>
    <w:rsid w:val="00564799"/>
    <w:rsid w:val="00564A96"/>
    <w:rsid w:val="00567DF6"/>
    <w:rsid w:val="005701DB"/>
    <w:rsid w:val="00570361"/>
    <w:rsid w:val="00572424"/>
    <w:rsid w:val="0057467C"/>
    <w:rsid w:val="0058486C"/>
    <w:rsid w:val="00587A5B"/>
    <w:rsid w:val="0059083C"/>
    <w:rsid w:val="005A5458"/>
    <w:rsid w:val="005B0C6B"/>
    <w:rsid w:val="005B378C"/>
    <w:rsid w:val="005B3A4E"/>
    <w:rsid w:val="005C5C16"/>
    <w:rsid w:val="005D3088"/>
    <w:rsid w:val="005D4260"/>
    <w:rsid w:val="005E01C4"/>
    <w:rsid w:val="005E07BF"/>
    <w:rsid w:val="005E2F73"/>
    <w:rsid w:val="005E5B95"/>
    <w:rsid w:val="005F0262"/>
    <w:rsid w:val="005F194A"/>
    <w:rsid w:val="005F1FF5"/>
    <w:rsid w:val="005F4EE3"/>
    <w:rsid w:val="005F7A99"/>
    <w:rsid w:val="0060007C"/>
    <w:rsid w:val="0060619C"/>
    <w:rsid w:val="006122C3"/>
    <w:rsid w:val="00615D6F"/>
    <w:rsid w:val="0061787A"/>
    <w:rsid w:val="00617E3C"/>
    <w:rsid w:val="0063033E"/>
    <w:rsid w:val="00635DFE"/>
    <w:rsid w:val="00640C88"/>
    <w:rsid w:val="00642516"/>
    <w:rsid w:val="006425B7"/>
    <w:rsid w:val="00664131"/>
    <w:rsid w:val="00665203"/>
    <w:rsid w:val="00670F35"/>
    <w:rsid w:val="006838B5"/>
    <w:rsid w:val="006849B8"/>
    <w:rsid w:val="006963AB"/>
    <w:rsid w:val="0069748A"/>
    <w:rsid w:val="006A0915"/>
    <w:rsid w:val="006A5D96"/>
    <w:rsid w:val="006A7FAB"/>
    <w:rsid w:val="006B0694"/>
    <w:rsid w:val="006B1EA1"/>
    <w:rsid w:val="006B2879"/>
    <w:rsid w:val="006B7A3B"/>
    <w:rsid w:val="006C1299"/>
    <w:rsid w:val="006C4345"/>
    <w:rsid w:val="006C4B70"/>
    <w:rsid w:val="006C4E04"/>
    <w:rsid w:val="006D2220"/>
    <w:rsid w:val="006D4904"/>
    <w:rsid w:val="006D533C"/>
    <w:rsid w:val="006D5BCB"/>
    <w:rsid w:val="006E1E43"/>
    <w:rsid w:val="006E2495"/>
    <w:rsid w:val="006E2B09"/>
    <w:rsid w:val="006E52B2"/>
    <w:rsid w:val="006E57A0"/>
    <w:rsid w:val="006F1064"/>
    <w:rsid w:val="006F6174"/>
    <w:rsid w:val="006F676D"/>
    <w:rsid w:val="007019BD"/>
    <w:rsid w:val="0071785C"/>
    <w:rsid w:val="007248E9"/>
    <w:rsid w:val="007251E1"/>
    <w:rsid w:val="00727B1B"/>
    <w:rsid w:val="00735D83"/>
    <w:rsid w:val="007368D1"/>
    <w:rsid w:val="00736B5D"/>
    <w:rsid w:val="0074616A"/>
    <w:rsid w:val="00747811"/>
    <w:rsid w:val="00747F10"/>
    <w:rsid w:val="00750377"/>
    <w:rsid w:val="00750F96"/>
    <w:rsid w:val="00753E03"/>
    <w:rsid w:val="00755FEA"/>
    <w:rsid w:val="00760EF1"/>
    <w:rsid w:val="00763619"/>
    <w:rsid w:val="00770112"/>
    <w:rsid w:val="007753FF"/>
    <w:rsid w:val="00782535"/>
    <w:rsid w:val="00783054"/>
    <w:rsid w:val="00784CDA"/>
    <w:rsid w:val="00785DEB"/>
    <w:rsid w:val="00791180"/>
    <w:rsid w:val="00792317"/>
    <w:rsid w:val="007931AD"/>
    <w:rsid w:val="007A10A8"/>
    <w:rsid w:val="007A4089"/>
    <w:rsid w:val="007A511C"/>
    <w:rsid w:val="007A5C07"/>
    <w:rsid w:val="007B3993"/>
    <w:rsid w:val="007B4714"/>
    <w:rsid w:val="007C3511"/>
    <w:rsid w:val="007D3746"/>
    <w:rsid w:val="007D6BA5"/>
    <w:rsid w:val="007E237A"/>
    <w:rsid w:val="007E6509"/>
    <w:rsid w:val="007F2068"/>
    <w:rsid w:val="007F3AED"/>
    <w:rsid w:val="007F62E4"/>
    <w:rsid w:val="008027D8"/>
    <w:rsid w:val="00807FF9"/>
    <w:rsid w:val="00811848"/>
    <w:rsid w:val="00817E03"/>
    <w:rsid w:val="00825844"/>
    <w:rsid w:val="00836B72"/>
    <w:rsid w:val="00836C26"/>
    <w:rsid w:val="00840302"/>
    <w:rsid w:val="00843455"/>
    <w:rsid w:val="00844342"/>
    <w:rsid w:val="0084598C"/>
    <w:rsid w:val="008504EA"/>
    <w:rsid w:val="00852136"/>
    <w:rsid w:val="00852FCE"/>
    <w:rsid w:val="00854765"/>
    <w:rsid w:val="008667DD"/>
    <w:rsid w:val="00880F1B"/>
    <w:rsid w:val="008821C5"/>
    <w:rsid w:val="00886D86"/>
    <w:rsid w:val="0089362D"/>
    <w:rsid w:val="008A41B8"/>
    <w:rsid w:val="008A4CCE"/>
    <w:rsid w:val="008A665E"/>
    <w:rsid w:val="008B0349"/>
    <w:rsid w:val="008C2000"/>
    <w:rsid w:val="008D058A"/>
    <w:rsid w:val="008D4B5F"/>
    <w:rsid w:val="008D529B"/>
    <w:rsid w:val="008D67EC"/>
    <w:rsid w:val="008E2801"/>
    <w:rsid w:val="008E719E"/>
    <w:rsid w:val="008F15A2"/>
    <w:rsid w:val="008F3C6B"/>
    <w:rsid w:val="008F48B1"/>
    <w:rsid w:val="008F7797"/>
    <w:rsid w:val="009000EC"/>
    <w:rsid w:val="00903957"/>
    <w:rsid w:val="009074CC"/>
    <w:rsid w:val="00913CC6"/>
    <w:rsid w:val="0092112E"/>
    <w:rsid w:val="0092153D"/>
    <w:rsid w:val="0092305A"/>
    <w:rsid w:val="009251DF"/>
    <w:rsid w:val="0093685B"/>
    <w:rsid w:val="00941639"/>
    <w:rsid w:val="00941F06"/>
    <w:rsid w:val="0095773F"/>
    <w:rsid w:val="009601B5"/>
    <w:rsid w:val="0096129E"/>
    <w:rsid w:val="00964710"/>
    <w:rsid w:val="009755BF"/>
    <w:rsid w:val="009758EC"/>
    <w:rsid w:val="00980F1E"/>
    <w:rsid w:val="00985DC3"/>
    <w:rsid w:val="009876CE"/>
    <w:rsid w:val="00990A4D"/>
    <w:rsid w:val="009A327E"/>
    <w:rsid w:val="009A54A0"/>
    <w:rsid w:val="009B0CEC"/>
    <w:rsid w:val="009B12D9"/>
    <w:rsid w:val="009B17C1"/>
    <w:rsid w:val="009B58AE"/>
    <w:rsid w:val="009B70B6"/>
    <w:rsid w:val="009C1138"/>
    <w:rsid w:val="009C226A"/>
    <w:rsid w:val="009C22D0"/>
    <w:rsid w:val="009C725C"/>
    <w:rsid w:val="009D0C69"/>
    <w:rsid w:val="009D3C76"/>
    <w:rsid w:val="009D6CAF"/>
    <w:rsid w:val="009D76DA"/>
    <w:rsid w:val="009D775C"/>
    <w:rsid w:val="009E4CB1"/>
    <w:rsid w:val="009F1890"/>
    <w:rsid w:val="009F1EC1"/>
    <w:rsid w:val="009F2B5C"/>
    <w:rsid w:val="009F6A45"/>
    <w:rsid w:val="009F6B17"/>
    <w:rsid w:val="00A01D7D"/>
    <w:rsid w:val="00A0424E"/>
    <w:rsid w:val="00A05DDA"/>
    <w:rsid w:val="00A06890"/>
    <w:rsid w:val="00A14107"/>
    <w:rsid w:val="00A2527A"/>
    <w:rsid w:val="00A27F43"/>
    <w:rsid w:val="00A36EAF"/>
    <w:rsid w:val="00A37BA2"/>
    <w:rsid w:val="00A44742"/>
    <w:rsid w:val="00A46B92"/>
    <w:rsid w:val="00A50836"/>
    <w:rsid w:val="00A52D24"/>
    <w:rsid w:val="00A53F84"/>
    <w:rsid w:val="00A55EC4"/>
    <w:rsid w:val="00A565AF"/>
    <w:rsid w:val="00A60650"/>
    <w:rsid w:val="00A67AD5"/>
    <w:rsid w:val="00A742E7"/>
    <w:rsid w:val="00A813A7"/>
    <w:rsid w:val="00A83A5B"/>
    <w:rsid w:val="00A83D19"/>
    <w:rsid w:val="00A945B8"/>
    <w:rsid w:val="00A94E84"/>
    <w:rsid w:val="00A961BE"/>
    <w:rsid w:val="00AA3F03"/>
    <w:rsid w:val="00AB1233"/>
    <w:rsid w:val="00AB4243"/>
    <w:rsid w:val="00AB465A"/>
    <w:rsid w:val="00AB77DA"/>
    <w:rsid w:val="00AC07D7"/>
    <w:rsid w:val="00AC23AC"/>
    <w:rsid w:val="00AC6427"/>
    <w:rsid w:val="00AD17DB"/>
    <w:rsid w:val="00AD358A"/>
    <w:rsid w:val="00AE2EA8"/>
    <w:rsid w:val="00AE6992"/>
    <w:rsid w:val="00AF1016"/>
    <w:rsid w:val="00AF2426"/>
    <w:rsid w:val="00AF5EB2"/>
    <w:rsid w:val="00AF718A"/>
    <w:rsid w:val="00B0024C"/>
    <w:rsid w:val="00B0113F"/>
    <w:rsid w:val="00B01EBD"/>
    <w:rsid w:val="00B05416"/>
    <w:rsid w:val="00B17016"/>
    <w:rsid w:val="00B24EF4"/>
    <w:rsid w:val="00B260BD"/>
    <w:rsid w:val="00B315A8"/>
    <w:rsid w:val="00B33D3E"/>
    <w:rsid w:val="00B357FA"/>
    <w:rsid w:val="00B35F48"/>
    <w:rsid w:val="00B51CD0"/>
    <w:rsid w:val="00B63AC1"/>
    <w:rsid w:val="00B658A6"/>
    <w:rsid w:val="00B75B4E"/>
    <w:rsid w:val="00B75C2A"/>
    <w:rsid w:val="00B806A7"/>
    <w:rsid w:val="00B806D3"/>
    <w:rsid w:val="00B812EB"/>
    <w:rsid w:val="00B81EC3"/>
    <w:rsid w:val="00B850BA"/>
    <w:rsid w:val="00B868B0"/>
    <w:rsid w:val="00B86B0D"/>
    <w:rsid w:val="00B87EDB"/>
    <w:rsid w:val="00BA013D"/>
    <w:rsid w:val="00BA2AEA"/>
    <w:rsid w:val="00BA344F"/>
    <w:rsid w:val="00BA405C"/>
    <w:rsid w:val="00BB02CD"/>
    <w:rsid w:val="00BB1EC0"/>
    <w:rsid w:val="00BC2EEC"/>
    <w:rsid w:val="00BC2FAA"/>
    <w:rsid w:val="00BC77F0"/>
    <w:rsid w:val="00BD12DD"/>
    <w:rsid w:val="00BD40F2"/>
    <w:rsid w:val="00BD4959"/>
    <w:rsid w:val="00BD6270"/>
    <w:rsid w:val="00BE040E"/>
    <w:rsid w:val="00BE3C8D"/>
    <w:rsid w:val="00BE7AB3"/>
    <w:rsid w:val="00BE7BDD"/>
    <w:rsid w:val="00BF056F"/>
    <w:rsid w:val="00BF4A63"/>
    <w:rsid w:val="00BF57B9"/>
    <w:rsid w:val="00BF67D3"/>
    <w:rsid w:val="00BF6EE0"/>
    <w:rsid w:val="00C044F5"/>
    <w:rsid w:val="00C05B9D"/>
    <w:rsid w:val="00C104D5"/>
    <w:rsid w:val="00C166C3"/>
    <w:rsid w:val="00C20261"/>
    <w:rsid w:val="00C22AA0"/>
    <w:rsid w:val="00C24AD0"/>
    <w:rsid w:val="00C27301"/>
    <w:rsid w:val="00C31938"/>
    <w:rsid w:val="00C34C74"/>
    <w:rsid w:val="00C34D90"/>
    <w:rsid w:val="00C44181"/>
    <w:rsid w:val="00C44CCC"/>
    <w:rsid w:val="00C54738"/>
    <w:rsid w:val="00C55F90"/>
    <w:rsid w:val="00C606B7"/>
    <w:rsid w:val="00C62B6F"/>
    <w:rsid w:val="00C65C70"/>
    <w:rsid w:val="00C71B9D"/>
    <w:rsid w:val="00C71FEB"/>
    <w:rsid w:val="00C77960"/>
    <w:rsid w:val="00C81238"/>
    <w:rsid w:val="00C835D0"/>
    <w:rsid w:val="00C90A18"/>
    <w:rsid w:val="00C930CD"/>
    <w:rsid w:val="00C931FA"/>
    <w:rsid w:val="00C93465"/>
    <w:rsid w:val="00C960CF"/>
    <w:rsid w:val="00C97053"/>
    <w:rsid w:val="00CA0050"/>
    <w:rsid w:val="00CA1CE5"/>
    <w:rsid w:val="00CA2643"/>
    <w:rsid w:val="00CA588A"/>
    <w:rsid w:val="00CA7A02"/>
    <w:rsid w:val="00CB1C6F"/>
    <w:rsid w:val="00CB3B16"/>
    <w:rsid w:val="00CC04F6"/>
    <w:rsid w:val="00CC0E92"/>
    <w:rsid w:val="00CC1586"/>
    <w:rsid w:val="00CC5476"/>
    <w:rsid w:val="00CD4E43"/>
    <w:rsid w:val="00CD501F"/>
    <w:rsid w:val="00CD6FA0"/>
    <w:rsid w:val="00CD772D"/>
    <w:rsid w:val="00CE0CE4"/>
    <w:rsid w:val="00CE17A5"/>
    <w:rsid w:val="00CE3BC6"/>
    <w:rsid w:val="00CF1305"/>
    <w:rsid w:val="00CF2BE5"/>
    <w:rsid w:val="00CF5FCB"/>
    <w:rsid w:val="00CF7465"/>
    <w:rsid w:val="00D007AA"/>
    <w:rsid w:val="00D05B60"/>
    <w:rsid w:val="00D0659C"/>
    <w:rsid w:val="00D12FD9"/>
    <w:rsid w:val="00D21DDF"/>
    <w:rsid w:val="00D23CFB"/>
    <w:rsid w:val="00D34679"/>
    <w:rsid w:val="00D43216"/>
    <w:rsid w:val="00D54386"/>
    <w:rsid w:val="00D54B5F"/>
    <w:rsid w:val="00D6019C"/>
    <w:rsid w:val="00D618B9"/>
    <w:rsid w:val="00D653ED"/>
    <w:rsid w:val="00D65E4F"/>
    <w:rsid w:val="00D74E64"/>
    <w:rsid w:val="00D768E5"/>
    <w:rsid w:val="00D83B55"/>
    <w:rsid w:val="00D91040"/>
    <w:rsid w:val="00D91502"/>
    <w:rsid w:val="00D926EF"/>
    <w:rsid w:val="00D939E8"/>
    <w:rsid w:val="00D96ED1"/>
    <w:rsid w:val="00DA02EF"/>
    <w:rsid w:val="00DA0843"/>
    <w:rsid w:val="00DA19D3"/>
    <w:rsid w:val="00DA4293"/>
    <w:rsid w:val="00DA55F5"/>
    <w:rsid w:val="00DA6D0C"/>
    <w:rsid w:val="00DA72E1"/>
    <w:rsid w:val="00DA7854"/>
    <w:rsid w:val="00DB34DA"/>
    <w:rsid w:val="00DB5964"/>
    <w:rsid w:val="00DC1BF9"/>
    <w:rsid w:val="00DC267F"/>
    <w:rsid w:val="00DD33BB"/>
    <w:rsid w:val="00DD4AC1"/>
    <w:rsid w:val="00DD6D8D"/>
    <w:rsid w:val="00DE2C55"/>
    <w:rsid w:val="00DE3B34"/>
    <w:rsid w:val="00E0069F"/>
    <w:rsid w:val="00E03CF5"/>
    <w:rsid w:val="00E151BD"/>
    <w:rsid w:val="00E17140"/>
    <w:rsid w:val="00E245DF"/>
    <w:rsid w:val="00E3174E"/>
    <w:rsid w:val="00E34A93"/>
    <w:rsid w:val="00E36D41"/>
    <w:rsid w:val="00E429D3"/>
    <w:rsid w:val="00E45FFA"/>
    <w:rsid w:val="00E475BC"/>
    <w:rsid w:val="00E54076"/>
    <w:rsid w:val="00E56702"/>
    <w:rsid w:val="00E6245E"/>
    <w:rsid w:val="00E65C29"/>
    <w:rsid w:val="00E72364"/>
    <w:rsid w:val="00E75954"/>
    <w:rsid w:val="00E77E3F"/>
    <w:rsid w:val="00E87D2C"/>
    <w:rsid w:val="00E90135"/>
    <w:rsid w:val="00E967F2"/>
    <w:rsid w:val="00EA1F89"/>
    <w:rsid w:val="00EA2499"/>
    <w:rsid w:val="00EA4784"/>
    <w:rsid w:val="00EA5790"/>
    <w:rsid w:val="00EA5D3D"/>
    <w:rsid w:val="00EA5E98"/>
    <w:rsid w:val="00EA71AF"/>
    <w:rsid w:val="00EB4756"/>
    <w:rsid w:val="00EB4CCE"/>
    <w:rsid w:val="00EB771A"/>
    <w:rsid w:val="00EC2B41"/>
    <w:rsid w:val="00EC58A1"/>
    <w:rsid w:val="00EC7B83"/>
    <w:rsid w:val="00ED6AEA"/>
    <w:rsid w:val="00EE4DEC"/>
    <w:rsid w:val="00EF04D7"/>
    <w:rsid w:val="00EF04DD"/>
    <w:rsid w:val="00EF298D"/>
    <w:rsid w:val="00F06017"/>
    <w:rsid w:val="00F12C3D"/>
    <w:rsid w:val="00F16539"/>
    <w:rsid w:val="00F2016E"/>
    <w:rsid w:val="00F20B98"/>
    <w:rsid w:val="00F233A4"/>
    <w:rsid w:val="00F241D0"/>
    <w:rsid w:val="00F2536D"/>
    <w:rsid w:val="00F27588"/>
    <w:rsid w:val="00F330E8"/>
    <w:rsid w:val="00F35FF4"/>
    <w:rsid w:val="00F42B3D"/>
    <w:rsid w:val="00F4320C"/>
    <w:rsid w:val="00F44956"/>
    <w:rsid w:val="00F46602"/>
    <w:rsid w:val="00F55365"/>
    <w:rsid w:val="00F5630A"/>
    <w:rsid w:val="00F56805"/>
    <w:rsid w:val="00F56B10"/>
    <w:rsid w:val="00F56E32"/>
    <w:rsid w:val="00F575C2"/>
    <w:rsid w:val="00F66DBE"/>
    <w:rsid w:val="00F725C6"/>
    <w:rsid w:val="00F80C0C"/>
    <w:rsid w:val="00F844D0"/>
    <w:rsid w:val="00F90B21"/>
    <w:rsid w:val="00F93477"/>
    <w:rsid w:val="00F935FD"/>
    <w:rsid w:val="00F954B3"/>
    <w:rsid w:val="00FA2706"/>
    <w:rsid w:val="00FA3DED"/>
    <w:rsid w:val="00FB331B"/>
    <w:rsid w:val="00FB4E80"/>
    <w:rsid w:val="00FC2C9F"/>
    <w:rsid w:val="00FC3E1B"/>
    <w:rsid w:val="00FD0618"/>
    <w:rsid w:val="00FD0CA5"/>
    <w:rsid w:val="00FD114A"/>
    <w:rsid w:val="00FD3DC1"/>
    <w:rsid w:val="00FD4205"/>
    <w:rsid w:val="00FD4B4F"/>
    <w:rsid w:val="00FD757C"/>
    <w:rsid w:val="00FE18FB"/>
    <w:rsid w:val="00FE29B9"/>
    <w:rsid w:val="00FE450A"/>
    <w:rsid w:val="00FE64E1"/>
    <w:rsid w:val="00FF5121"/>
    <w:rsid w:val="00FF57FE"/>
    <w:rsid w:val="00FF6F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59"/>
    <w:pPr>
      <w:widowControl w:val="0"/>
      <w:jc w:val="both"/>
    </w:pPr>
    <w:rPr>
      <w:rFonts w:cs="Calibri"/>
      <w:szCs w:val="21"/>
    </w:rPr>
  </w:style>
  <w:style w:type="paragraph" w:styleId="Heading1">
    <w:name w:val="heading 1"/>
    <w:basedOn w:val="Normal"/>
    <w:next w:val="Normal"/>
    <w:link w:val="Heading1Char"/>
    <w:uiPriority w:val="99"/>
    <w:qFormat/>
    <w:rsid w:val="00513DB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513DB2"/>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3DB2"/>
    <w:rPr>
      <w:rFonts w:ascii="Calibri" w:eastAsia="宋体" w:hAnsi="Calibri" w:cs="Calibri"/>
      <w:b/>
      <w:bCs/>
      <w:kern w:val="44"/>
      <w:sz w:val="44"/>
      <w:szCs w:val="44"/>
    </w:rPr>
  </w:style>
  <w:style w:type="character" w:customStyle="1" w:styleId="Heading2Char">
    <w:name w:val="Heading 2 Char"/>
    <w:basedOn w:val="DefaultParagraphFont"/>
    <w:link w:val="Heading2"/>
    <w:uiPriority w:val="99"/>
    <w:semiHidden/>
    <w:locked/>
    <w:rsid w:val="00513DB2"/>
    <w:rPr>
      <w:rFonts w:ascii="Cambria" w:eastAsia="宋体" w:hAnsi="Cambria" w:cs="Cambria"/>
      <w:b/>
      <w:bCs/>
      <w:sz w:val="32"/>
      <w:szCs w:val="32"/>
    </w:rPr>
  </w:style>
  <w:style w:type="paragraph" w:styleId="Header">
    <w:name w:val="header"/>
    <w:basedOn w:val="Normal"/>
    <w:link w:val="HeaderChar"/>
    <w:uiPriority w:val="99"/>
    <w:rsid w:val="00BD49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D4959"/>
    <w:rPr>
      <w:sz w:val="18"/>
      <w:szCs w:val="18"/>
    </w:rPr>
  </w:style>
  <w:style w:type="paragraph" w:styleId="Footer">
    <w:name w:val="footer"/>
    <w:basedOn w:val="Normal"/>
    <w:link w:val="FooterChar"/>
    <w:uiPriority w:val="99"/>
    <w:rsid w:val="00BD49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D4959"/>
    <w:rPr>
      <w:sz w:val="18"/>
      <w:szCs w:val="18"/>
    </w:rPr>
  </w:style>
  <w:style w:type="paragraph" w:styleId="ListParagraph">
    <w:name w:val="List Paragraph"/>
    <w:basedOn w:val="Normal"/>
    <w:uiPriority w:val="99"/>
    <w:qFormat/>
    <w:rsid w:val="00BD4959"/>
    <w:pPr>
      <w:ind w:firstLineChars="200" w:firstLine="420"/>
    </w:pPr>
  </w:style>
  <w:style w:type="paragraph" w:styleId="BalloonText">
    <w:name w:val="Balloon Text"/>
    <w:basedOn w:val="Normal"/>
    <w:link w:val="BalloonTextChar"/>
    <w:uiPriority w:val="99"/>
    <w:semiHidden/>
    <w:rsid w:val="00BD4959"/>
    <w:rPr>
      <w:sz w:val="18"/>
      <w:szCs w:val="18"/>
    </w:rPr>
  </w:style>
  <w:style w:type="character" w:customStyle="1" w:styleId="BalloonTextChar">
    <w:name w:val="Balloon Text Char"/>
    <w:basedOn w:val="DefaultParagraphFont"/>
    <w:link w:val="BalloonText"/>
    <w:uiPriority w:val="99"/>
    <w:semiHidden/>
    <w:locked/>
    <w:rsid w:val="00BD4959"/>
    <w:rPr>
      <w:rFonts w:ascii="Calibri" w:eastAsia="宋体" w:hAnsi="Calibri" w:cs="Calibri"/>
      <w:sz w:val="18"/>
      <w:szCs w:val="18"/>
    </w:rPr>
  </w:style>
  <w:style w:type="table" w:styleId="TableGrid">
    <w:name w:val="Table Grid"/>
    <w:basedOn w:val="TableNormal"/>
    <w:uiPriority w:val="99"/>
    <w:rsid w:val="007F3AED"/>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2000"/>
    <w:pPr>
      <w:snapToGrid w:val="0"/>
      <w:jc w:val="left"/>
    </w:pPr>
    <w:rPr>
      <w:sz w:val="18"/>
      <w:szCs w:val="18"/>
    </w:rPr>
  </w:style>
  <w:style w:type="character" w:customStyle="1" w:styleId="FootnoteTextChar">
    <w:name w:val="Footnote Text Char"/>
    <w:basedOn w:val="DefaultParagraphFont"/>
    <w:link w:val="FootnoteText"/>
    <w:uiPriority w:val="99"/>
    <w:locked/>
    <w:rsid w:val="008C2000"/>
    <w:rPr>
      <w:rFonts w:ascii="Calibri" w:eastAsia="宋体" w:hAnsi="Calibri" w:cs="Calibri"/>
      <w:sz w:val="18"/>
      <w:szCs w:val="18"/>
    </w:rPr>
  </w:style>
  <w:style w:type="character" w:styleId="FootnoteReference">
    <w:name w:val="footnote reference"/>
    <w:basedOn w:val="DefaultParagraphFont"/>
    <w:uiPriority w:val="99"/>
    <w:semiHidden/>
    <w:rsid w:val="008C2000"/>
    <w:rPr>
      <w:vertAlign w:val="superscript"/>
    </w:rPr>
  </w:style>
  <w:style w:type="paragraph" w:styleId="DocumentMap">
    <w:name w:val="Document Map"/>
    <w:basedOn w:val="Normal"/>
    <w:link w:val="DocumentMapChar"/>
    <w:uiPriority w:val="99"/>
    <w:semiHidden/>
    <w:rsid w:val="00134F73"/>
    <w:rPr>
      <w:rFonts w:ascii="宋体" w:cs="宋体"/>
      <w:sz w:val="18"/>
      <w:szCs w:val="18"/>
    </w:rPr>
  </w:style>
  <w:style w:type="character" w:customStyle="1" w:styleId="DocumentMapChar">
    <w:name w:val="Document Map Char"/>
    <w:basedOn w:val="DefaultParagraphFont"/>
    <w:link w:val="DocumentMap"/>
    <w:uiPriority w:val="99"/>
    <w:semiHidden/>
    <w:locked/>
    <w:rsid w:val="00134F73"/>
    <w:rPr>
      <w:rFonts w:ascii="宋体" w:eastAsia="宋体" w:hAnsi="Calibri" w:cs="宋体"/>
      <w:sz w:val="18"/>
      <w:szCs w:val="18"/>
    </w:rPr>
  </w:style>
  <w:style w:type="paragraph" w:styleId="EndnoteText">
    <w:name w:val="endnote text"/>
    <w:basedOn w:val="Normal"/>
    <w:link w:val="EndnoteTextChar"/>
    <w:uiPriority w:val="99"/>
    <w:semiHidden/>
    <w:rsid w:val="00253A46"/>
    <w:pPr>
      <w:snapToGrid w:val="0"/>
      <w:jc w:val="left"/>
    </w:pPr>
  </w:style>
  <w:style w:type="character" w:customStyle="1" w:styleId="EndnoteTextChar">
    <w:name w:val="Endnote Text Char"/>
    <w:basedOn w:val="DefaultParagraphFont"/>
    <w:link w:val="EndnoteText"/>
    <w:uiPriority w:val="99"/>
    <w:semiHidden/>
    <w:locked/>
    <w:rsid w:val="00253A46"/>
    <w:rPr>
      <w:rFonts w:ascii="Calibri" w:eastAsia="宋体" w:hAnsi="Calibri" w:cs="Calibri"/>
    </w:rPr>
  </w:style>
  <w:style w:type="character" w:styleId="EndnoteReference">
    <w:name w:val="endnote reference"/>
    <w:basedOn w:val="DefaultParagraphFont"/>
    <w:uiPriority w:val="99"/>
    <w:semiHidden/>
    <w:rsid w:val="00253A46"/>
    <w:rPr>
      <w:vertAlign w:val="superscript"/>
    </w:rPr>
  </w:style>
  <w:style w:type="character" w:styleId="CommentReference">
    <w:name w:val="annotation reference"/>
    <w:basedOn w:val="DefaultParagraphFont"/>
    <w:uiPriority w:val="99"/>
    <w:semiHidden/>
    <w:rsid w:val="00CE17A5"/>
    <w:rPr>
      <w:sz w:val="21"/>
      <w:szCs w:val="21"/>
    </w:rPr>
  </w:style>
  <w:style w:type="paragraph" w:styleId="NormalWeb">
    <w:name w:val="Normal (Web)"/>
    <w:basedOn w:val="Normal"/>
    <w:uiPriority w:val="99"/>
    <w:rsid w:val="009B12D9"/>
    <w:pPr>
      <w:widowControl/>
      <w:spacing w:beforeAutospacing="1" w:after="100" w:afterAutospacing="1"/>
      <w:jc w:val="left"/>
    </w:pPr>
    <w:rPr>
      <w:rFonts w:ascii="宋体" w:hAnsi="宋体" w:cs="宋体"/>
      <w:kern w:val="0"/>
      <w:sz w:val="24"/>
      <w:szCs w:val="24"/>
    </w:rPr>
  </w:style>
  <w:style w:type="character" w:styleId="Emphasis">
    <w:name w:val="Emphasis"/>
    <w:basedOn w:val="DefaultParagraphFont"/>
    <w:uiPriority w:val="99"/>
    <w:qFormat/>
    <w:rsid w:val="005B378C"/>
    <w:rPr>
      <w:color w:val="auto"/>
    </w:rPr>
  </w:style>
  <w:style w:type="paragraph" w:customStyle="1" w:styleId="visitor1">
    <w:name w:val="visitor1"/>
    <w:basedOn w:val="Normal"/>
    <w:uiPriority w:val="99"/>
    <w:rsid w:val="00EB4756"/>
    <w:pPr>
      <w:widowControl/>
      <w:spacing w:line="300" w:lineRule="atLeast"/>
      <w:jc w:val="left"/>
    </w:pPr>
    <w:rPr>
      <w:rFonts w:ascii="宋体" w:hAnsi="宋体" w:cs="宋体"/>
      <w:b/>
      <w:bCs/>
      <w:color w:val="0486B6"/>
      <w:kern w:val="0"/>
      <w:sz w:val="18"/>
      <w:szCs w:val="18"/>
    </w:rPr>
  </w:style>
  <w:style w:type="paragraph" w:customStyle="1" w:styleId="DecimalAligned">
    <w:name w:val="Decimal Aligned"/>
    <w:basedOn w:val="Normal"/>
    <w:uiPriority w:val="99"/>
    <w:rsid w:val="00B01EBD"/>
    <w:pPr>
      <w:widowControl/>
      <w:tabs>
        <w:tab w:val="decimal" w:pos="360"/>
      </w:tabs>
      <w:spacing w:after="200" w:line="276" w:lineRule="auto"/>
      <w:jc w:val="left"/>
    </w:pPr>
    <w:rPr>
      <w:kern w:val="0"/>
      <w:sz w:val="22"/>
      <w:szCs w:val="22"/>
    </w:rPr>
  </w:style>
  <w:style w:type="character" w:styleId="SubtleEmphasis">
    <w:name w:val="Subtle Emphasis"/>
    <w:basedOn w:val="DefaultParagraphFont"/>
    <w:uiPriority w:val="99"/>
    <w:qFormat/>
    <w:rsid w:val="00B01EBD"/>
    <w:rPr>
      <w:rFonts w:eastAsia="宋体"/>
      <w:i/>
      <w:iCs/>
      <w:color w:val="808080"/>
      <w:sz w:val="22"/>
      <w:szCs w:val="22"/>
      <w:lang w:eastAsia="zh-CN"/>
    </w:rPr>
  </w:style>
  <w:style w:type="table" w:styleId="MediumShading2-Accent5">
    <w:name w:val="Medium Shading 2 Accent 5"/>
    <w:basedOn w:val="TableNormal"/>
    <w:uiPriority w:val="99"/>
    <w:rsid w:val="00B01EBD"/>
    <w:rPr>
      <w:rFonts w:cs="Calibri"/>
      <w:kern w:val="0"/>
      <w:sz w:val="22"/>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浅色底纹 - 强调文字颜色 11"/>
    <w:uiPriority w:val="99"/>
    <w:rsid w:val="00B01EBD"/>
    <w:rPr>
      <w:rFonts w:cs="Calibri"/>
      <w:color w:val="365F91"/>
      <w:kern w:val="0"/>
      <w:sz w:val="22"/>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
    <w:name w:val="浅色底纹1"/>
    <w:uiPriority w:val="99"/>
    <w:rsid w:val="00B01EBD"/>
    <w:rPr>
      <w:rFonts w:cs="Calibri"/>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LightShading-Accent2">
    <w:name w:val="Light Shading Accent 2"/>
    <w:basedOn w:val="TableNormal"/>
    <w:uiPriority w:val="99"/>
    <w:rsid w:val="00B01EBD"/>
    <w:rPr>
      <w:rFonts w:cs="Calibri"/>
      <w:color w:val="943634"/>
      <w:kern w:val="0"/>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B01EBD"/>
    <w:rPr>
      <w:rFonts w:cs="Calibri"/>
      <w:color w:val="76923C"/>
      <w:kern w:val="0"/>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B01EBD"/>
    <w:rPr>
      <w:rFonts w:cs="Calibri"/>
      <w:color w:val="5F497A"/>
      <w:kern w:val="0"/>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B01EBD"/>
    <w:rPr>
      <w:rFonts w:cs="Calibri"/>
      <w:color w:val="31849B"/>
      <w:kern w:val="0"/>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B01EBD"/>
    <w:rPr>
      <w:rFonts w:cs="Calibri"/>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11">
    <w:name w:val="中等深浅底纹 1 - 强调文字颜色 11"/>
    <w:uiPriority w:val="99"/>
    <w:rsid w:val="00B01EBD"/>
    <w:rPr>
      <w:rFonts w:cs="Calibri"/>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
    <w:name w:val="中等深浅底纹 11"/>
    <w:uiPriority w:val="99"/>
    <w:rsid w:val="00B01EBD"/>
    <w:rPr>
      <w:rFonts w:cs="Calibri"/>
      <w:kern w:val="0"/>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LightGrid-Accent6">
    <w:name w:val="Light Grid Accent 6"/>
    <w:basedOn w:val="TableNormal"/>
    <w:uiPriority w:val="99"/>
    <w:rsid w:val="00B01EBD"/>
    <w:rPr>
      <w:rFonts w:cs="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宋体"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宋体"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宋体" w:hAnsi="Cambria" w:cs="Cambria"/>
        <w:b/>
        <w:bCs/>
      </w:rPr>
    </w:tblStylePr>
    <w:tblStylePr w:type="lastCol">
      <w:rPr>
        <w:rFonts w:ascii="Cambria" w:eastAsia="宋体"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5">
    <w:name w:val="Light Grid Accent 5"/>
    <w:basedOn w:val="TableNormal"/>
    <w:uiPriority w:val="99"/>
    <w:rsid w:val="00B01EBD"/>
    <w:rPr>
      <w:rFonts w:cs="Calibri"/>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宋体"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宋体"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Cambria"/>
        <w:b/>
        <w:bCs/>
      </w:rPr>
    </w:tblStylePr>
    <w:tblStylePr w:type="lastCol">
      <w:rPr>
        <w:rFonts w:ascii="Cambria" w:eastAsia="宋体"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OC1">
    <w:name w:val="toc 1"/>
    <w:basedOn w:val="Normal"/>
    <w:next w:val="Normal"/>
    <w:autoRedefine/>
    <w:uiPriority w:val="99"/>
    <w:semiHidden/>
    <w:rsid w:val="00F4320C"/>
  </w:style>
  <w:style w:type="paragraph" w:styleId="TOC2">
    <w:name w:val="toc 2"/>
    <w:basedOn w:val="Normal"/>
    <w:next w:val="Normal"/>
    <w:autoRedefine/>
    <w:uiPriority w:val="99"/>
    <w:semiHidden/>
    <w:rsid w:val="00F4320C"/>
    <w:pPr>
      <w:ind w:leftChars="200" w:left="420"/>
    </w:pPr>
  </w:style>
  <w:style w:type="character" w:styleId="Hyperlink">
    <w:name w:val="Hyperlink"/>
    <w:basedOn w:val="DefaultParagraphFont"/>
    <w:uiPriority w:val="99"/>
    <w:rsid w:val="00F4320C"/>
    <w:rPr>
      <w:color w:val="0000FF"/>
      <w:u w:val="single"/>
    </w:rPr>
  </w:style>
</w:styles>
</file>

<file path=word/webSettings.xml><?xml version="1.0" encoding="utf-8"?>
<w:webSettings xmlns:r="http://schemas.openxmlformats.org/officeDocument/2006/relationships" xmlns:w="http://schemas.openxmlformats.org/wordprocessingml/2006/main">
  <w:divs>
    <w:div w:id="1138835718">
      <w:marLeft w:val="0"/>
      <w:marRight w:val="0"/>
      <w:marTop w:val="0"/>
      <w:marBottom w:val="0"/>
      <w:divBdr>
        <w:top w:val="none" w:sz="0" w:space="0" w:color="auto"/>
        <w:left w:val="none" w:sz="0" w:space="0" w:color="auto"/>
        <w:bottom w:val="none" w:sz="0" w:space="0" w:color="auto"/>
        <w:right w:val="none" w:sz="0" w:space="0" w:color="auto"/>
      </w:divBdr>
    </w:div>
    <w:div w:id="1138835719">
      <w:marLeft w:val="0"/>
      <w:marRight w:val="0"/>
      <w:marTop w:val="0"/>
      <w:marBottom w:val="0"/>
      <w:divBdr>
        <w:top w:val="none" w:sz="0" w:space="0" w:color="auto"/>
        <w:left w:val="none" w:sz="0" w:space="0" w:color="auto"/>
        <w:bottom w:val="none" w:sz="0" w:space="0" w:color="auto"/>
        <w:right w:val="none" w:sz="0" w:space="0" w:color="auto"/>
      </w:divBdr>
    </w:div>
    <w:div w:id="1138835720">
      <w:marLeft w:val="0"/>
      <w:marRight w:val="0"/>
      <w:marTop w:val="0"/>
      <w:marBottom w:val="0"/>
      <w:divBdr>
        <w:top w:val="none" w:sz="0" w:space="0" w:color="auto"/>
        <w:left w:val="none" w:sz="0" w:space="0" w:color="auto"/>
        <w:bottom w:val="none" w:sz="0" w:space="0" w:color="auto"/>
        <w:right w:val="none" w:sz="0" w:space="0" w:color="auto"/>
      </w:divBdr>
    </w:div>
    <w:div w:id="1138835721">
      <w:marLeft w:val="0"/>
      <w:marRight w:val="0"/>
      <w:marTop w:val="0"/>
      <w:marBottom w:val="0"/>
      <w:divBdr>
        <w:top w:val="none" w:sz="0" w:space="0" w:color="auto"/>
        <w:left w:val="none" w:sz="0" w:space="0" w:color="auto"/>
        <w:bottom w:val="none" w:sz="0" w:space="0" w:color="auto"/>
        <w:right w:val="none" w:sz="0" w:space="0" w:color="auto"/>
      </w:divBdr>
    </w:div>
    <w:div w:id="1138835722">
      <w:marLeft w:val="0"/>
      <w:marRight w:val="0"/>
      <w:marTop w:val="0"/>
      <w:marBottom w:val="0"/>
      <w:divBdr>
        <w:top w:val="none" w:sz="0" w:space="0" w:color="auto"/>
        <w:left w:val="none" w:sz="0" w:space="0" w:color="auto"/>
        <w:bottom w:val="none" w:sz="0" w:space="0" w:color="auto"/>
        <w:right w:val="none" w:sz="0" w:space="0" w:color="auto"/>
      </w:divBdr>
    </w:div>
    <w:div w:id="1138835723">
      <w:marLeft w:val="0"/>
      <w:marRight w:val="0"/>
      <w:marTop w:val="0"/>
      <w:marBottom w:val="0"/>
      <w:divBdr>
        <w:top w:val="none" w:sz="0" w:space="0" w:color="auto"/>
        <w:left w:val="none" w:sz="0" w:space="0" w:color="auto"/>
        <w:bottom w:val="none" w:sz="0" w:space="0" w:color="auto"/>
        <w:right w:val="none" w:sz="0" w:space="0" w:color="auto"/>
      </w:divBdr>
    </w:div>
    <w:div w:id="1138835724">
      <w:marLeft w:val="0"/>
      <w:marRight w:val="0"/>
      <w:marTop w:val="0"/>
      <w:marBottom w:val="0"/>
      <w:divBdr>
        <w:top w:val="none" w:sz="0" w:space="0" w:color="auto"/>
        <w:left w:val="none" w:sz="0" w:space="0" w:color="auto"/>
        <w:bottom w:val="none" w:sz="0" w:space="0" w:color="auto"/>
        <w:right w:val="none" w:sz="0" w:space="0" w:color="auto"/>
      </w:divBdr>
    </w:div>
    <w:div w:id="1138835725">
      <w:marLeft w:val="0"/>
      <w:marRight w:val="0"/>
      <w:marTop w:val="0"/>
      <w:marBottom w:val="0"/>
      <w:divBdr>
        <w:top w:val="none" w:sz="0" w:space="0" w:color="auto"/>
        <w:left w:val="none" w:sz="0" w:space="0" w:color="auto"/>
        <w:bottom w:val="none" w:sz="0" w:space="0" w:color="auto"/>
        <w:right w:val="none" w:sz="0" w:space="0" w:color="auto"/>
      </w:divBdr>
    </w:div>
    <w:div w:id="1138835726">
      <w:marLeft w:val="0"/>
      <w:marRight w:val="0"/>
      <w:marTop w:val="0"/>
      <w:marBottom w:val="0"/>
      <w:divBdr>
        <w:top w:val="none" w:sz="0" w:space="0" w:color="auto"/>
        <w:left w:val="none" w:sz="0" w:space="0" w:color="auto"/>
        <w:bottom w:val="none" w:sz="0" w:space="0" w:color="auto"/>
        <w:right w:val="none" w:sz="0" w:space="0" w:color="auto"/>
      </w:divBdr>
    </w:div>
    <w:div w:id="1138835727">
      <w:marLeft w:val="0"/>
      <w:marRight w:val="0"/>
      <w:marTop w:val="0"/>
      <w:marBottom w:val="0"/>
      <w:divBdr>
        <w:top w:val="none" w:sz="0" w:space="0" w:color="auto"/>
        <w:left w:val="none" w:sz="0" w:space="0" w:color="auto"/>
        <w:bottom w:val="none" w:sz="0" w:space="0" w:color="auto"/>
        <w:right w:val="none" w:sz="0" w:space="0" w:color="auto"/>
      </w:divBdr>
    </w:div>
    <w:div w:id="1138835728">
      <w:marLeft w:val="0"/>
      <w:marRight w:val="0"/>
      <w:marTop w:val="0"/>
      <w:marBottom w:val="0"/>
      <w:divBdr>
        <w:top w:val="none" w:sz="0" w:space="0" w:color="auto"/>
        <w:left w:val="none" w:sz="0" w:space="0" w:color="auto"/>
        <w:bottom w:val="none" w:sz="0" w:space="0" w:color="auto"/>
        <w:right w:val="none" w:sz="0" w:space="0" w:color="auto"/>
      </w:divBdr>
    </w:div>
    <w:div w:id="1138835729">
      <w:marLeft w:val="0"/>
      <w:marRight w:val="0"/>
      <w:marTop w:val="0"/>
      <w:marBottom w:val="0"/>
      <w:divBdr>
        <w:top w:val="none" w:sz="0" w:space="0" w:color="auto"/>
        <w:left w:val="none" w:sz="0" w:space="0" w:color="auto"/>
        <w:bottom w:val="none" w:sz="0" w:space="0" w:color="auto"/>
        <w:right w:val="none" w:sz="0" w:space="0" w:color="auto"/>
      </w:divBdr>
    </w:div>
    <w:div w:id="1138835730">
      <w:marLeft w:val="0"/>
      <w:marRight w:val="0"/>
      <w:marTop w:val="0"/>
      <w:marBottom w:val="0"/>
      <w:divBdr>
        <w:top w:val="none" w:sz="0" w:space="0" w:color="auto"/>
        <w:left w:val="none" w:sz="0" w:space="0" w:color="auto"/>
        <w:bottom w:val="none" w:sz="0" w:space="0" w:color="auto"/>
        <w:right w:val="none" w:sz="0" w:space="0" w:color="auto"/>
      </w:divBdr>
    </w:div>
    <w:div w:id="1138835731">
      <w:marLeft w:val="0"/>
      <w:marRight w:val="0"/>
      <w:marTop w:val="0"/>
      <w:marBottom w:val="0"/>
      <w:divBdr>
        <w:top w:val="none" w:sz="0" w:space="0" w:color="auto"/>
        <w:left w:val="none" w:sz="0" w:space="0" w:color="auto"/>
        <w:bottom w:val="none" w:sz="0" w:space="0" w:color="auto"/>
        <w:right w:val="none" w:sz="0" w:space="0" w:color="auto"/>
      </w:divBdr>
    </w:div>
    <w:div w:id="1138835732">
      <w:marLeft w:val="0"/>
      <w:marRight w:val="0"/>
      <w:marTop w:val="0"/>
      <w:marBottom w:val="0"/>
      <w:divBdr>
        <w:top w:val="none" w:sz="0" w:space="0" w:color="auto"/>
        <w:left w:val="none" w:sz="0" w:space="0" w:color="auto"/>
        <w:bottom w:val="none" w:sz="0" w:space="0" w:color="auto"/>
        <w:right w:val="none" w:sz="0" w:space="0" w:color="auto"/>
      </w:divBdr>
    </w:div>
    <w:div w:id="1138835733">
      <w:marLeft w:val="0"/>
      <w:marRight w:val="0"/>
      <w:marTop w:val="0"/>
      <w:marBottom w:val="0"/>
      <w:divBdr>
        <w:top w:val="none" w:sz="0" w:space="0" w:color="auto"/>
        <w:left w:val="none" w:sz="0" w:space="0" w:color="auto"/>
        <w:bottom w:val="none" w:sz="0" w:space="0" w:color="auto"/>
        <w:right w:val="none" w:sz="0" w:space="0" w:color="auto"/>
      </w:divBdr>
    </w:div>
    <w:div w:id="1138835734">
      <w:marLeft w:val="0"/>
      <w:marRight w:val="0"/>
      <w:marTop w:val="0"/>
      <w:marBottom w:val="0"/>
      <w:divBdr>
        <w:top w:val="none" w:sz="0" w:space="0" w:color="auto"/>
        <w:left w:val="none" w:sz="0" w:space="0" w:color="auto"/>
        <w:bottom w:val="none" w:sz="0" w:space="0" w:color="auto"/>
        <w:right w:val="none" w:sz="0" w:space="0" w:color="auto"/>
      </w:divBdr>
    </w:div>
    <w:div w:id="1138835735">
      <w:marLeft w:val="0"/>
      <w:marRight w:val="0"/>
      <w:marTop w:val="0"/>
      <w:marBottom w:val="0"/>
      <w:divBdr>
        <w:top w:val="none" w:sz="0" w:space="0" w:color="auto"/>
        <w:left w:val="none" w:sz="0" w:space="0" w:color="auto"/>
        <w:bottom w:val="none" w:sz="0" w:space="0" w:color="auto"/>
        <w:right w:val="none" w:sz="0" w:space="0" w:color="auto"/>
      </w:divBdr>
    </w:div>
    <w:div w:id="1138835736">
      <w:marLeft w:val="0"/>
      <w:marRight w:val="0"/>
      <w:marTop w:val="0"/>
      <w:marBottom w:val="0"/>
      <w:divBdr>
        <w:top w:val="none" w:sz="0" w:space="0" w:color="auto"/>
        <w:left w:val="none" w:sz="0" w:space="0" w:color="auto"/>
        <w:bottom w:val="none" w:sz="0" w:space="0" w:color="auto"/>
        <w:right w:val="none" w:sz="0" w:space="0" w:color="auto"/>
      </w:divBdr>
    </w:div>
    <w:div w:id="1138835737">
      <w:marLeft w:val="0"/>
      <w:marRight w:val="0"/>
      <w:marTop w:val="0"/>
      <w:marBottom w:val="0"/>
      <w:divBdr>
        <w:top w:val="none" w:sz="0" w:space="0" w:color="auto"/>
        <w:left w:val="none" w:sz="0" w:space="0" w:color="auto"/>
        <w:bottom w:val="none" w:sz="0" w:space="0" w:color="auto"/>
        <w:right w:val="none" w:sz="0" w:space="0" w:color="auto"/>
      </w:divBdr>
      <w:divsChild>
        <w:div w:id="1138835769">
          <w:marLeft w:val="0"/>
          <w:marRight w:val="0"/>
          <w:marTop w:val="0"/>
          <w:marBottom w:val="0"/>
          <w:divBdr>
            <w:top w:val="none" w:sz="0" w:space="0" w:color="auto"/>
            <w:left w:val="none" w:sz="0" w:space="0" w:color="auto"/>
            <w:bottom w:val="none" w:sz="0" w:space="0" w:color="auto"/>
            <w:right w:val="none" w:sz="0" w:space="0" w:color="auto"/>
          </w:divBdr>
        </w:div>
      </w:divsChild>
    </w:div>
    <w:div w:id="1138835738">
      <w:marLeft w:val="0"/>
      <w:marRight w:val="0"/>
      <w:marTop w:val="0"/>
      <w:marBottom w:val="0"/>
      <w:divBdr>
        <w:top w:val="none" w:sz="0" w:space="0" w:color="auto"/>
        <w:left w:val="none" w:sz="0" w:space="0" w:color="auto"/>
        <w:bottom w:val="none" w:sz="0" w:space="0" w:color="auto"/>
        <w:right w:val="none" w:sz="0" w:space="0" w:color="auto"/>
      </w:divBdr>
    </w:div>
    <w:div w:id="1138835739">
      <w:marLeft w:val="0"/>
      <w:marRight w:val="0"/>
      <w:marTop w:val="0"/>
      <w:marBottom w:val="0"/>
      <w:divBdr>
        <w:top w:val="none" w:sz="0" w:space="0" w:color="auto"/>
        <w:left w:val="none" w:sz="0" w:space="0" w:color="auto"/>
        <w:bottom w:val="none" w:sz="0" w:space="0" w:color="auto"/>
        <w:right w:val="none" w:sz="0" w:space="0" w:color="auto"/>
      </w:divBdr>
    </w:div>
    <w:div w:id="1138835740">
      <w:marLeft w:val="0"/>
      <w:marRight w:val="0"/>
      <w:marTop w:val="0"/>
      <w:marBottom w:val="0"/>
      <w:divBdr>
        <w:top w:val="none" w:sz="0" w:space="0" w:color="auto"/>
        <w:left w:val="none" w:sz="0" w:space="0" w:color="auto"/>
        <w:bottom w:val="none" w:sz="0" w:space="0" w:color="auto"/>
        <w:right w:val="none" w:sz="0" w:space="0" w:color="auto"/>
      </w:divBdr>
    </w:div>
    <w:div w:id="1138835741">
      <w:marLeft w:val="0"/>
      <w:marRight w:val="0"/>
      <w:marTop w:val="0"/>
      <w:marBottom w:val="0"/>
      <w:divBdr>
        <w:top w:val="none" w:sz="0" w:space="0" w:color="auto"/>
        <w:left w:val="none" w:sz="0" w:space="0" w:color="auto"/>
        <w:bottom w:val="none" w:sz="0" w:space="0" w:color="auto"/>
        <w:right w:val="none" w:sz="0" w:space="0" w:color="auto"/>
      </w:divBdr>
    </w:div>
    <w:div w:id="1138835742">
      <w:marLeft w:val="0"/>
      <w:marRight w:val="0"/>
      <w:marTop w:val="0"/>
      <w:marBottom w:val="0"/>
      <w:divBdr>
        <w:top w:val="none" w:sz="0" w:space="0" w:color="auto"/>
        <w:left w:val="none" w:sz="0" w:space="0" w:color="auto"/>
        <w:bottom w:val="none" w:sz="0" w:space="0" w:color="auto"/>
        <w:right w:val="none" w:sz="0" w:space="0" w:color="auto"/>
      </w:divBdr>
    </w:div>
    <w:div w:id="1138835743">
      <w:marLeft w:val="0"/>
      <w:marRight w:val="0"/>
      <w:marTop w:val="0"/>
      <w:marBottom w:val="0"/>
      <w:divBdr>
        <w:top w:val="none" w:sz="0" w:space="0" w:color="auto"/>
        <w:left w:val="none" w:sz="0" w:space="0" w:color="auto"/>
        <w:bottom w:val="none" w:sz="0" w:space="0" w:color="auto"/>
        <w:right w:val="none" w:sz="0" w:space="0" w:color="auto"/>
      </w:divBdr>
    </w:div>
    <w:div w:id="1138835744">
      <w:marLeft w:val="0"/>
      <w:marRight w:val="0"/>
      <w:marTop w:val="0"/>
      <w:marBottom w:val="0"/>
      <w:divBdr>
        <w:top w:val="none" w:sz="0" w:space="0" w:color="auto"/>
        <w:left w:val="none" w:sz="0" w:space="0" w:color="auto"/>
        <w:bottom w:val="none" w:sz="0" w:space="0" w:color="auto"/>
        <w:right w:val="none" w:sz="0" w:space="0" w:color="auto"/>
      </w:divBdr>
    </w:div>
    <w:div w:id="1138835746">
      <w:marLeft w:val="0"/>
      <w:marRight w:val="0"/>
      <w:marTop w:val="0"/>
      <w:marBottom w:val="0"/>
      <w:divBdr>
        <w:top w:val="none" w:sz="0" w:space="0" w:color="auto"/>
        <w:left w:val="none" w:sz="0" w:space="0" w:color="auto"/>
        <w:bottom w:val="none" w:sz="0" w:space="0" w:color="auto"/>
        <w:right w:val="none" w:sz="0" w:space="0" w:color="auto"/>
      </w:divBdr>
    </w:div>
    <w:div w:id="1138835747">
      <w:marLeft w:val="0"/>
      <w:marRight w:val="0"/>
      <w:marTop w:val="0"/>
      <w:marBottom w:val="0"/>
      <w:divBdr>
        <w:top w:val="none" w:sz="0" w:space="0" w:color="auto"/>
        <w:left w:val="none" w:sz="0" w:space="0" w:color="auto"/>
        <w:bottom w:val="none" w:sz="0" w:space="0" w:color="auto"/>
        <w:right w:val="none" w:sz="0" w:space="0" w:color="auto"/>
      </w:divBdr>
    </w:div>
    <w:div w:id="1138835748">
      <w:marLeft w:val="0"/>
      <w:marRight w:val="0"/>
      <w:marTop w:val="0"/>
      <w:marBottom w:val="0"/>
      <w:divBdr>
        <w:top w:val="none" w:sz="0" w:space="0" w:color="auto"/>
        <w:left w:val="none" w:sz="0" w:space="0" w:color="auto"/>
        <w:bottom w:val="none" w:sz="0" w:space="0" w:color="auto"/>
        <w:right w:val="none" w:sz="0" w:space="0" w:color="auto"/>
      </w:divBdr>
    </w:div>
    <w:div w:id="1138835749">
      <w:marLeft w:val="0"/>
      <w:marRight w:val="0"/>
      <w:marTop w:val="0"/>
      <w:marBottom w:val="0"/>
      <w:divBdr>
        <w:top w:val="none" w:sz="0" w:space="0" w:color="auto"/>
        <w:left w:val="none" w:sz="0" w:space="0" w:color="auto"/>
        <w:bottom w:val="none" w:sz="0" w:space="0" w:color="auto"/>
        <w:right w:val="none" w:sz="0" w:space="0" w:color="auto"/>
      </w:divBdr>
    </w:div>
    <w:div w:id="1138835750">
      <w:marLeft w:val="0"/>
      <w:marRight w:val="0"/>
      <w:marTop w:val="0"/>
      <w:marBottom w:val="0"/>
      <w:divBdr>
        <w:top w:val="none" w:sz="0" w:space="0" w:color="auto"/>
        <w:left w:val="none" w:sz="0" w:space="0" w:color="auto"/>
        <w:bottom w:val="none" w:sz="0" w:space="0" w:color="auto"/>
        <w:right w:val="none" w:sz="0" w:space="0" w:color="auto"/>
      </w:divBdr>
    </w:div>
    <w:div w:id="1138835751">
      <w:marLeft w:val="0"/>
      <w:marRight w:val="0"/>
      <w:marTop w:val="0"/>
      <w:marBottom w:val="0"/>
      <w:divBdr>
        <w:top w:val="none" w:sz="0" w:space="0" w:color="auto"/>
        <w:left w:val="none" w:sz="0" w:space="0" w:color="auto"/>
        <w:bottom w:val="none" w:sz="0" w:space="0" w:color="auto"/>
        <w:right w:val="none" w:sz="0" w:space="0" w:color="auto"/>
      </w:divBdr>
      <w:divsChild>
        <w:div w:id="1138835785">
          <w:marLeft w:val="0"/>
          <w:marRight w:val="0"/>
          <w:marTop w:val="0"/>
          <w:marBottom w:val="0"/>
          <w:divBdr>
            <w:top w:val="none" w:sz="0" w:space="0" w:color="auto"/>
            <w:left w:val="none" w:sz="0" w:space="0" w:color="auto"/>
            <w:bottom w:val="none" w:sz="0" w:space="0" w:color="auto"/>
            <w:right w:val="none" w:sz="0" w:space="0" w:color="auto"/>
          </w:divBdr>
        </w:div>
      </w:divsChild>
    </w:div>
    <w:div w:id="1138835752">
      <w:marLeft w:val="0"/>
      <w:marRight w:val="0"/>
      <w:marTop w:val="0"/>
      <w:marBottom w:val="0"/>
      <w:divBdr>
        <w:top w:val="none" w:sz="0" w:space="0" w:color="auto"/>
        <w:left w:val="none" w:sz="0" w:space="0" w:color="auto"/>
        <w:bottom w:val="none" w:sz="0" w:space="0" w:color="auto"/>
        <w:right w:val="none" w:sz="0" w:space="0" w:color="auto"/>
      </w:divBdr>
    </w:div>
    <w:div w:id="1138835753">
      <w:marLeft w:val="0"/>
      <w:marRight w:val="0"/>
      <w:marTop w:val="0"/>
      <w:marBottom w:val="0"/>
      <w:divBdr>
        <w:top w:val="none" w:sz="0" w:space="0" w:color="auto"/>
        <w:left w:val="none" w:sz="0" w:space="0" w:color="auto"/>
        <w:bottom w:val="none" w:sz="0" w:space="0" w:color="auto"/>
        <w:right w:val="none" w:sz="0" w:space="0" w:color="auto"/>
      </w:divBdr>
    </w:div>
    <w:div w:id="1138835754">
      <w:marLeft w:val="0"/>
      <w:marRight w:val="0"/>
      <w:marTop w:val="0"/>
      <w:marBottom w:val="0"/>
      <w:divBdr>
        <w:top w:val="none" w:sz="0" w:space="0" w:color="auto"/>
        <w:left w:val="none" w:sz="0" w:space="0" w:color="auto"/>
        <w:bottom w:val="none" w:sz="0" w:space="0" w:color="auto"/>
        <w:right w:val="none" w:sz="0" w:space="0" w:color="auto"/>
      </w:divBdr>
    </w:div>
    <w:div w:id="1138835755">
      <w:marLeft w:val="0"/>
      <w:marRight w:val="0"/>
      <w:marTop w:val="0"/>
      <w:marBottom w:val="0"/>
      <w:divBdr>
        <w:top w:val="none" w:sz="0" w:space="0" w:color="auto"/>
        <w:left w:val="none" w:sz="0" w:space="0" w:color="auto"/>
        <w:bottom w:val="none" w:sz="0" w:space="0" w:color="auto"/>
        <w:right w:val="none" w:sz="0" w:space="0" w:color="auto"/>
      </w:divBdr>
    </w:div>
    <w:div w:id="1138835756">
      <w:marLeft w:val="0"/>
      <w:marRight w:val="0"/>
      <w:marTop w:val="0"/>
      <w:marBottom w:val="0"/>
      <w:divBdr>
        <w:top w:val="none" w:sz="0" w:space="0" w:color="auto"/>
        <w:left w:val="none" w:sz="0" w:space="0" w:color="auto"/>
        <w:bottom w:val="none" w:sz="0" w:space="0" w:color="auto"/>
        <w:right w:val="none" w:sz="0" w:space="0" w:color="auto"/>
      </w:divBdr>
    </w:div>
    <w:div w:id="1138835757">
      <w:marLeft w:val="0"/>
      <w:marRight w:val="0"/>
      <w:marTop w:val="0"/>
      <w:marBottom w:val="0"/>
      <w:divBdr>
        <w:top w:val="none" w:sz="0" w:space="0" w:color="auto"/>
        <w:left w:val="none" w:sz="0" w:space="0" w:color="auto"/>
        <w:bottom w:val="none" w:sz="0" w:space="0" w:color="auto"/>
        <w:right w:val="none" w:sz="0" w:space="0" w:color="auto"/>
      </w:divBdr>
    </w:div>
    <w:div w:id="1138835758">
      <w:marLeft w:val="0"/>
      <w:marRight w:val="0"/>
      <w:marTop w:val="0"/>
      <w:marBottom w:val="0"/>
      <w:divBdr>
        <w:top w:val="none" w:sz="0" w:space="0" w:color="auto"/>
        <w:left w:val="none" w:sz="0" w:space="0" w:color="auto"/>
        <w:bottom w:val="none" w:sz="0" w:space="0" w:color="auto"/>
        <w:right w:val="none" w:sz="0" w:space="0" w:color="auto"/>
      </w:divBdr>
      <w:divsChild>
        <w:div w:id="1138835745">
          <w:marLeft w:val="0"/>
          <w:marRight w:val="0"/>
          <w:marTop w:val="0"/>
          <w:marBottom w:val="0"/>
          <w:divBdr>
            <w:top w:val="none" w:sz="0" w:space="0" w:color="auto"/>
            <w:left w:val="none" w:sz="0" w:space="0" w:color="auto"/>
            <w:bottom w:val="none" w:sz="0" w:space="0" w:color="auto"/>
            <w:right w:val="none" w:sz="0" w:space="0" w:color="auto"/>
          </w:divBdr>
        </w:div>
      </w:divsChild>
    </w:div>
    <w:div w:id="1138835759">
      <w:marLeft w:val="0"/>
      <w:marRight w:val="0"/>
      <w:marTop w:val="0"/>
      <w:marBottom w:val="0"/>
      <w:divBdr>
        <w:top w:val="none" w:sz="0" w:space="0" w:color="auto"/>
        <w:left w:val="none" w:sz="0" w:space="0" w:color="auto"/>
        <w:bottom w:val="none" w:sz="0" w:space="0" w:color="auto"/>
        <w:right w:val="none" w:sz="0" w:space="0" w:color="auto"/>
      </w:divBdr>
    </w:div>
    <w:div w:id="1138835760">
      <w:marLeft w:val="0"/>
      <w:marRight w:val="0"/>
      <w:marTop w:val="0"/>
      <w:marBottom w:val="0"/>
      <w:divBdr>
        <w:top w:val="none" w:sz="0" w:space="0" w:color="auto"/>
        <w:left w:val="none" w:sz="0" w:space="0" w:color="auto"/>
        <w:bottom w:val="none" w:sz="0" w:space="0" w:color="auto"/>
        <w:right w:val="none" w:sz="0" w:space="0" w:color="auto"/>
      </w:divBdr>
    </w:div>
    <w:div w:id="1138835761">
      <w:marLeft w:val="0"/>
      <w:marRight w:val="0"/>
      <w:marTop w:val="0"/>
      <w:marBottom w:val="0"/>
      <w:divBdr>
        <w:top w:val="none" w:sz="0" w:space="0" w:color="auto"/>
        <w:left w:val="none" w:sz="0" w:space="0" w:color="auto"/>
        <w:bottom w:val="none" w:sz="0" w:space="0" w:color="auto"/>
        <w:right w:val="none" w:sz="0" w:space="0" w:color="auto"/>
      </w:divBdr>
    </w:div>
    <w:div w:id="1138835762">
      <w:marLeft w:val="0"/>
      <w:marRight w:val="0"/>
      <w:marTop w:val="0"/>
      <w:marBottom w:val="0"/>
      <w:divBdr>
        <w:top w:val="none" w:sz="0" w:space="0" w:color="auto"/>
        <w:left w:val="none" w:sz="0" w:space="0" w:color="auto"/>
        <w:bottom w:val="none" w:sz="0" w:space="0" w:color="auto"/>
        <w:right w:val="none" w:sz="0" w:space="0" w:color="auto"/>
      </w:divBdr>
    </w:div>
    <w:div w:id="1138835763">
      <w:marLeft w:val="0"/>
      <w:marRight w:val="0"/>
      <w:marTop w:val="0"/>
      <w:marBottom w:val="0"/>
      <w:divBdr>
        <w:top w:val="none" w:sz="0" w:space="0" w:color="auto"/>
        <w:left w:val="none" w:sz="0" w:space="0" w:color="auto"/>
        <w:bottom w:val="none" w:sz="0" w:space="0" w:color="auto"/>
        <w:right w:val="none" w:sz="0" w:space="0" w:color="auto"/>
      </w:divBdr>
    </w:div>
    <w:div w:id="1138835764">
      <w:marLeft w:val="0"/>
      <w:marRight w:val="0"/>
      <w:marTop w:val="0"/>
      <w:marBottom w:val="0"/>
      <w:divBdr>
        <w:top w:val="none" w:sz="0" w:space="0" w:color="auto"/>
        <w:left w:val="none" w:sz="0" w:space="0" w:color="auto"/>
        <w:bottom w:val="none" w:sz="0" w:space="0" w:color="auto"/>
        <w:right w:val="none" w:sz="0" w:space="0" w:color="auto"/>
      </w:divBdr>
    </w:div>
    <w:div w:id="1138835765">
      <w:marLeft w:val="0"/>
      <w:marRight w:val="0"/>
      <w:marTop w:val="0"/>
      <w:marBottom w:val="0"/>
      <w:divBdr>
        <w:top w:val="none" w:sz="0" w:space="0" w:color="auto"/>
        <w:left w:val="none" w:sz="0" w:space="0" w:color="auto"/>
        <w:bottom w:val="none" w:sz="0" w:space="0" w:color="auto"/>
        <w:right w:val="none" w:sz="0" w:space="0" w:color="auto"/>
      </w:divBdr>
    </w:div>
    <w:div w:id="1138835766">
      <w:marLeft w:val="0"/>
      <w:marRight w:val="0"/>
      <w:marTop w:val="0"/>
      <w:marBottom w:val="0"/>
      <w:divBdr>
        <w:top w:val="none" w:sz="0" w:space="0" w:color="auto"/>
        <w:left w:val="none" w:sz="0" w:space="0" w:color="auto"/>
        <w:bottom w:val="none" w:sz="0" w:space="0" w:color="auto"/>
        <w:right w:val="none" w:sz="0" w:space="0" w:color="auto"/>
      </w:divBdr>
    </w:div>
    <w:div w:id="1138835767">
      <w:marLeft w:val="0"/>
      <w:marRight w:val="0"/>
      <w:marTop w:val="0"/>
      <w:marBottom w:val="0"/>
      <w:divBdr>
        <w:top w:val="none" w:sz="0" w:space="0" w:color="auto"/>
        <w:left w:val="none" w:sz="0" w:space="0" w:color="auto"/>
        <w:bottom w:val="none" w:sz="0" w:space="0" w:color="auto"/>
        <w:right w:val="none" w:sz="0" w:space="0" w:color="auto"/>
      </w:divBdr>
    </w:div>
    <w:div w:id="1138835770">
      <w:marLeft w:val="0"/>
      <w:marRight w:val="0"/>
      <w:marTop w:val="0"/>
      <w:marBottom w:val="0"/>
      <w:divBdr>
        <w:top w:val="none" w:sz="0" w:space="0" w:color="auto"/>
        <w:left w:val="none" w:sz="0" w:space="0" w:color="auto"/>
        <w:bottom w:val="none" w:sz="0" w:space="0" w:color="auto"/>
        <w:right w:val="none" w:sz="0" w:space="0" w:color="auto"/>
      </w:divBdr>
      <w:divsChild>
        <w:div w:id="1138835768">
          <w:marLeft w:val="0"/>
          <w:marRight w:val="0"/>
          <w:marTop w:val="0"/>
          <w:marBottom w:val="0"/>
          <w:divBdr>
            <w:top w:val="none" w:sz="0" w:space="0" w:color="auto"/>
            <w:left w:val="none" w:sz="0" w:space="0" w:color="auto"/>
            <w:bottom w:val="none" w:sz="0" w:space="0" w:color="auto"/>
            <w:right w:val="none" w:sz="0" w:space="0" w:color="auto"/>
          </w:divBdr>
        </w:div>
      </w:divsChild>
    </w:div>
    <w:div w:id="1138835771">
      <w:marLeft w:val="0"/>
      <w:marRight w:val="0"/>
      <w:marTop w:val="0"/>
      <w:marBottom w:val="0"/>
      <w:divBdr>
        <w:top w:val="none" w:sz="0" w:space="0" w:color="auto"/>
        <w:left w:val="none" w:sz="0" w:space="0" w:color="auto"/>
        <w:bottom w:val="none" w:sz="0" w:space="0" w:color="auto"/>
        <w:right w:val="none" w:sz="0" w:space="0" w:color="auto"/>
      </w:divBdr>
    </w:div>
    <w:div w:id="1138835772">
      <w:marLeft w:val="0"/>
      <w:marRight w:val="0"/>
      <w:marTop w:val="0"/>
      <w:marBottom w:val="0"/>
      <w:divBdr>
        <w:top w:val="none" w:sz="0" w:space="0" w:color="auto"/>
        <w:left w:val="none" w:sz="0" w:space="0" w:color="auto"/>
        <w:bottom w:val="none" w:sz="0" w:space="0" w:color="auto"/>
        <w:right w:val="none" w:sz="0" w:space="0" w:color="auto"/>
      </w:divBdr>
    </w:div>
    <w:div w:id="1138835773">
      <w:marLeft w:val="0"/>
      <w:marRight w:val="0"/>
      <w:marTop w:val="0"/>
      <w:marBottom w:val="0"/>
      <w:divBdr>
        <w:top w:val="none" w:sz="0" w:space="0" w:color="auto"/>
        <w:left w:val="none" w:sz="0" w:space="0" w:color="auto"/>
        <w:bottom w:val="none" w:sz="0" w:space="0" w:color="auto"/>
        <w:right w:val="none" w:sz="0" w:space="0" w:color="auto"/>
      </w:divBdr>
    </w:div>
    <w:div w:id="1138835774">
      <w:marLeft w:val="0"/>
      <w:marRight w:val="0"/>
      <w:marTop w:val="0"/>
      <w:marBottom w:val="0"/>
      <w:divBdr>
        <w:top w:val="none" w:sz="0" w:space="0" w:color="auto"/>
        <w:left w:val="none" w:sz="0" w:space="0" w:color="auto"/>
        <w:bottom w:val="none" w:sz="0" w:space="0" w:color="auto"/>
        <w:right w:val="none" w:sz="0" w:space="0" w:color="auto"/>
      </w:divBdr>
    </w:div>
    <w:div w:id="1138835775">
      <w:marLeft w:val="0"/>
      <w:marRight w:val="0"/>
      <w:marTop w:val="0"/>
      <w:marBottom w:val="0"/>
      <w:divBdr>
        <w:top w:val="none" w:sz="0" w:space="0" w:color="auto"/>
        <w:left w:val="none" w:sz="0" w:space="0" w:color="auto"/>
        <w:bottom w:val="none" w:sz="0" w:space="0" w:color="auto"/>
        <w:right w:val="none" w:sz="0" w:space="0" w:color="auto"/>
      </w:divBdr>
    </w:div>
    <w:div w:id="1138835776">
      <w:marLeft w:val="0"/>
      <w:marRight w:val="0"/>
      <w:marTop w:val="0"/>
      <w:marBottom w:val="0"/>
      <w:divBdr>
        <w:top w:val="none" w:sz="0" w:space="0" w:color="auto"/>
        <w:left w:val="none" w:sz="0" w:space="0" w:color="auto"/>
        <w:bottom w:val="none" w:sz="0" w:space="0" w:color="auto"/>
        <w:right w:val="none" w:sz="0" w:space="0" w:color="auto"/>
      </w:divBdr>
    </w:div>
    <w:div w:id="1138835777">
      <w:marLeft w:val="0"/>
      <w:marRight w:val="0"/>
      <w:marTop w:val="0"/>
      <w:marBottom w:val="0"/>
      <w:divBdr>
        <w:top w:val="none" w:sz="0" w:space="0" w:color="auto"/>
        <w:left w:val="none" w:sz="0" w:space="0" w:color="auto"/>
        <w:bottom w:val="none" w:sz="0" w:space="0" w:color="auto"/>
        <w:right w:val="none" w:sz="0" w:space="0" w:color="auto"/>
      </w:divBdr>
    </w:div>
    <w:div w:id="1138835778">
      <w:marLeft w:val="0"/>
      <w:marRight w:val="0"/>
      <w:marTop w:val="0"/>
      <w:marBottom w:val="0"/>
      <w:divBdr>
        <w:top w:val="none" w:sz="0" w:space="0" w:color="auto"/>
        <w:left w:val="none" w:sz="0" w:space="0" w:color="auto"/>
        <w:bottom w:val="none" w:sz="0" w:space="0" w:color="auto"/>
        <w:right w:val="none" w:sz="0" w:space="0" w:color="auto"/>
      </w:divBdr>
    </w:div>
    <w:div w:id="1138835779">
      <w:marLeft w:val="0"/>
      <w:marRight w:val="0"/>
      <w:marTop w:val="0"/>
      <w:marBottom w:val="0"/>
      <w:divBdr>
        <w:top w:val="none" w:sz="0" w:space="0" w:color="auto"/>
        <w:left w:val="none" w:sz="0" w:space="0" w:color="auto"/>
        <w:bottom w:val="none" w:sz="0" w:space="0" w:color="auto"/>
        <w:right w:val="none" w:sz="0" w:space="0" w:color="auto"/>
      </w:divBdr>
    </w:div>
    <w:div w:id="1138835780">
      <w:marLeft w:val="0"/>
      <w:marRight w:val="0"/>
      <w:marTop w:val="0"/>
      <w:marBottom w:val="0"/>
      <w:divBdr>
        <w:top w:val="none" w:sz="0" w:space="0" w:color="auto"/>
        <w:left w:val="none" w:sz="0" w:space="0" w:color="auto"/>
        <w:bottom w:val="none" w:sz="0" w:space="0" w:color="auto"/>
        <w:right w:val="none" w:sz="0" w:space="0" w:color="auto"/>
      </w:divBdr>
    </w:div>
    <w:div w:id="1138835781">
      <w:marLeft w:val="0"/>
      <w:marRight w:val="0"/>
      <w:marTop w:val="0"/>
      <w:marBottom w:val="0"/>
      <w:divBdr>
        <w:top w:val="none" w:sz="0" w:space="0" w:color="auto"/>
        <w:left w:val="none" w:sz="0" w:space="0" w:color="auto"/>
        <w:bottom w:val="none" w:sz="0" w:space="0" w:color="auto"/>
        <w:right w:val="none" w:sz="0" w:space="0" w:color="auto"/>
      </w:divBdr>
    </w:div>
    <w:div w:id="1138835782">
      <w:marLeft w:val="0"/>
      <w:marRight w:val="0"/>
      <w:marTop w:val="0"/>
      <w:marBottom w:val="0"/>
      <w:divBdr>
        <w:top w:val="none" w:sz="0" w:space="0" w:color="auto"/>
        <w:left w:val="none" w:sz="0" w:space="0" w:color="auto"/>
        <w:bottom w:val="none" w:sz="0" w:space="0" w:color="auto"/>
        <w:right w:val="none" w:sz="0" w:space="0" w:color="auto"/>
      </w:divBdr>
    </w:div>
    <w:div w:id="1138835783">
      <w:marLeft w:val="0"/>
      <w:marRight w:val="0"/>
      <w:marTop w:val="0"/>
      <w:marBottom w:val="0"/>
      <w:divBdr>
        <w:top w:val="none" w:sz="0" w:space="0" w:color="auto"/>
        <w:left w:val="none" w:sz="0" w:space="0" w:color="auto"/>
        <w:bottom w:val="none" w:sz="0" w:space="0" w:color="auto"/>
        <w:right w:val="none" w:sz="0" w:space="0" w:color="auto"/>
      </w:divBdr>
    </w:div>
    <w:div w:id="1138835784">
      <w:marLeft w:val="0"/>
      <w:marRight w:val="0"/>
      <w:marTop w:val="0"/>
      <w:marBottom w:val="0"/>
      <w:divBdr>
        <w:top w:val="none" w:sz="0" w:space="0" w:color="auto"/>
        <w:left w:val="none" w:sz="0" w:space="0" w:color="auto"/>
        <w:bottom w:val="none" w:sz="0" w:space="0" w:color="auto"/>
        <w:right w:val="none" w:sz="0" w:space="0" w:color="auto"/>
      </w:divBdr>
    </w:div>
    <w:div w:id="1138835786">
      <w:marLeft w:val="0"/>
      <w:marRight w:val="0"/>
      <w:marTop w:val="0"/>
      <w:marBottom w:val="0"/>
      <w:divBdr>
        <w:top w:val="none" w:sz="0" w:space="0" w:color="auto"/>
        <w:left w:val="none" w:sz="0" w:space="0" w:color="auto"/>
        <w:bottom w:val="none" w:sz="0" w:space="0" w:color="auto"/>
        <w:right w:val="none" w:sz="0" w:space="0" w:color="auto"/>
      </w:divBdr>
    </w:div>
    <w:div w:id="1138835787">
      <w:marLeft w:val="0"/>
      <w:marRight w:val="0"/>
      <w:marTop w:val="0"/>
      <w:marBottom w:val="0"/>
      <w:divBdr>
        <w:top w:val="none" w:sz="0" w:space="0" w:color="auto"/>
        <w:left w:val="none" w:sz="0" w:space="0" w:color="auto"/>
        <w:bottom w:val="none" w:sz="0" w:space="0" w:color="auto"/>
        <w:right w:val="none" w:sz="0" w:space="0" w:color="auto"/>
      </w:divBdr>
    </w:div>
    <w:div w:id="1138835788">
      <w:marLeft w:val="0"/>
      <w:marRight w:val="0"/>
      <w:marTop w:val="0"/>
      <w:marBottom w:val="0"/>
      <w:divBdr>
        <w:top w:val="none" w:sz="0" w:space="0" w:color="auto"/>
        <w:left w:val="none" w:sz="0" w:space="0" w:color="auto"/>
        <w:bottom w:val="none" w:sz="0" w:space="0" w:color="auto"/>
        <w:right w:val="none" w:sz="0" w:space="0" w:color="auto"/>
      </w:divBdr>
    </w:div>
    <w:div w:id="1138835789">
      <w:marLeft w:val="0"/>
      <w:marRight w:val="0"/>
      <w:marTop w:val="0"/>
      <w:marBottom w:val="0"/>
      <w:divBdr>
        <w:top w:val="none" w:sz="0" w:space="0" w:color="auto"/>
        <w:left w:val="none" w:sz="0" w:space="0" w:color="auto"/>
        <w:bottom w:val="none" w:sz="0" w:space="0" w:color="auto"/>
        <w:right w:val="none" w:sz="0" w:space="0" w:color="auto"/>
      </w:divBdr>
    </w:div>
    <w:div w:id="1138835790">
      <w:marLeft w:val="0"/>
      <w:marRight w:val="0"/>
      <w:marTop w:val="0"/>
      <w:marBottom w:val="0"/>
      <w:divBdr>
        <w:top w:val="none" w:sz="0" w:space="0" w:color="auto"/>
        <w:left w:val="none" w:sz="0" w:space="0" w:color="auto"/>
        <w:bottom w:val="none" w:sz="0" w:space="0" w:color="auto"/>
        <w:right w:val="none" w:sz="0" w:space="0" w:color="auto"/>
      </w:divBdr>
    </w:div>
    <w:div w:id="1138835791">
      <w:marLeft w:val="0"/>
      <w:marRight w:val="0"/>
      <w:marTop w:val="0"/>
      <w:marBottom w:val="0"/>
      <w:divBdr>
        <w:top w:val="none" w:sz="0" w:space="0" w:color="auto"/>
        <w:left w:val="none" w:sz="0" w:space="0" w:color="auto"/>
        <w:bottom w:val="none" w:sz="0" w:space="0" w:color="auto"/>
        <w:right w:val="none" w:sz="0" w:space="0" w:color="auto"/>
      </w:divBdr>
    </w:div>
    <w:div w:id="113883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12</Pages>
  <Words>1210</Words>
  <Characters>6900</Characters>
  <Application>Microsoft Office Outlook</Application>
  <DocSecurity>0</DocSecurity>
  <Lines>0</Lines>
  <Paragraphs>0</Paragraphs>
  <ScaleCrop>false</ScaleCrop>
  <Company>Sinosound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admin</cp:lastModifiedBy>
  <cp:revision>11</cp:revision>
  <cp:lastPrinted>2012-05-17T01:22:00Z</cp:lastPrinted>
  <dcterms:created xsi:type="dcterms:W3CDTF">2013-10-16T02:06:00Z</dcterms:created>
  <dcterms:modified xsi:type="dcterms:W3CDTF">2014-04-14T07:09:00Z</dcterms:modified>
</cp:coreProperties>
</file>